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9538F" w:rsidRDefault="00571DC7" w:rsidP="00BE7FF5">
      <w:pPr>
        <w:pStyle w:val="HMHeading10"/>
        <w:spacing w:after="240"/>
        <w:rPr>
          <w:rFonts w:cstheme="minorHAnsi"/>
        </w:rPr>
      </w:pPr>
      <w:bookmarkStart w:id="0" w:name="_GoBack"/>
      <w:bookmarkEnd w:id="0"/>
      <w:r w:rsidRPr="0069538F">
        <w:rPr>
          <w:rFonts w:cstheme="minorHAnsi"/>
        </w:rPr>
        <w:t>Хроника текущих событий Управления разработки</w:t>
      </w:r>
      <w:r w:rsidRPr="0069538F">
        <w:rPr>
          <w:rFonts w:cstheme="minorHAnsi"/>
        </w:rPr>
        <w:br/>
        <w:t>(01.</w:t>
      </w:r>
      <w:r w:rsidR="00096113" w:rsidRPr="0069538F">
        <w:rPr>
          <w:rFonts w:cstheme="minorHAnsi"/>
        </w:rPr>
        <w:t>0</w:t>
      </w:r>
      <w:r w:rsidR="000907AE">
        <w:rPr>
          <w:rFonts w:cstheme="minorHAnsi"/>
        </w:rPr>
        <w:t>9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 xml:space="preserve"> — </w:t>
      </w:r>
      <w:r w:rsidR="007018B8">
        <w:rPr>
          <w:rFonts w:cstheme="minorHAnsi"/>
        </w:rPr>
        <w:t>3</w:t>
      </w:r>
      <w:r w:rsidR="000907AE">
        <w:rPr>
          <w:rFonts w:cstheme="minorHAnsi"/>
        </w:rPr>
        <w:t>0</w:t>
      </w:r>
      <w:r w:rsidRPr="0069538F">
        <w:rPr>
          <w:rFonts w:cstheme="minorHAnsi"/>
        </w:rPr>
        <w:t>.</w:t>
      </w:r>
      <w:r w:rsidR="00096113" w:rsidRPr="0069538F">
        <w:rPr>
          <w:rFonts w:cstheme="minorHAnsi"/>
        </w:rPr>
        <w:t>0</w:t>
      </w:r>
      <w:r w:rsidR="000907AE">
        <w:rPr>
          <w:rFonts w:cstheme="minorHAnsi"/>
        </w:rPr>
        <w:t>9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>)</w:t>
      </w:r>
      <w:r w:rsidRPr="0069538F">
        <w:rPr>
          <w:rFonts w:cstheme="minorHAnsi"/>
        </w:rPr>
        <w:br/>
        <w:t xml:space="preserve">Новое в системе Галактика </w:t>
      </w:r>
      <w:r w:rsidRPr="0069538F">
        <w:rPr>
          <w:rFonts w:cstheme="minorHAnsi"/>
          <w:lang w:val="en-US"/>
        </w:rPr>
        <w:t>ERP</w:t>
      </w:r>
      <w:r w:rsidRPr="0069538F">
        <w:rPr>
          <w:rFonts w:cstheme="minorHAnsi"/>
        </w:rPr>
        <w:t xml:space="preserve"> 9.1</w:t>
      </w:r>
    </w:p>
    <w:p w:rsidR="0093260A" w:rsidRDefault="0093260A" w:rsidP="006E3C8F">
      <w:pPr>
        <w:spacing w:before="240" w:after="60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FF2E28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FF2E28">
        <w:rPr>
          <w:rStyle w:val="HMAccent2"/>
          <w:rFonts w:asciiTheme="majorHAnsi" w:hAnsiTheme="majorHAnsi" w:cstheme="majorHAnsi"/>
          <w:sz w:val="32"/>
        </w:rPr>
        <w:t>РБ</w:t>
      </w:r>
    </w:p>
    <w:p w:rsidR="00E978B8" w:rsidRDefault="00E978B8" w:rsidP="00BE7FF5">
      <w:pPr>
        <w:pStyle w:val="HMHeadSection0"/>
      </w:pPr>
      <w:r>
        <w:t>Логистика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tbl>
            <w:tblPr>
              <w:tblW w:w="181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  <w:gridCol w:w="9075"/>
            </w:tblGrid>
            <w:tr w:rsidR="000907AE" w:rsidTr="000907AE">
              <w:tc>
                <w:tcPr>
                  <w:tcW w:w="9075" w:type="dxa"/>
                </w:tcPr>
                <w:p w:rsidR="000907AE" w:rsidRDefault="000907AE" w:rsidP="000907AE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OPER_9.1_543</w:t>
                  </w:r>
                  <w:r>
                    <w:t xml:space="preserve"> (</w:t>
                  </w:r>
                  <w:r>
                    <w:rPr>
                      <w:rStyle w:val="HMFieldVal"/>
                    </w:rPr>
                    <w:t>C_CheckOper.res.9.1.62.0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E_HttpConnector.dll.9.1.5.0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F_MBP.res.9.1.212.0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L_Common.res.9.1.180.0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L_MCU.res.9.1.141.0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L_Nalog.res.9.1.108.0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L_PrnSopr.res.9.1.141.0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L_Rozn.res.9.1.117.0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L_SerialN.res.9.1.85.0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L_Sklad.res.9.1.245.0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L_SoprBase.res.9.1.160.0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L_SoprDoc.res.9.1.242.0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L_TTNdoc.res.9.1.48.0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M_Transp.res.9.1.144.0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Z_KatPodr.res.9.1.50.0</w:t>
                  </w:r>
                  <w:r>
                    <w:t>):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>Новые настройки в общесистемном реестре:</w:t>
                  </w:r>
                </w:p>
                <w:p w:rsidR="000907AE" w:rsidRDefault="000907AE" w:rsidP="000907AE">
                  <w:pPr>
                    <w:pStyle w:val="HMBullet20"/>
                    <w:numPr>
                      <w:ilvl w:val="0"/>
                      <w:numId w:val="24"/>
                    </w:numPr>
                    <w:spacing w:before="60"/>
                  </w:pPr>
                  <w:r>
                    <w:rPr>
                      <w:rStyle w:val="HMField"/>
                    </w:rPr>
                    <w:t>При импорте автоматически устанавливать признаки маркировки и прослеживаемости для существующих МЦ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Сопроводительные 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 xml:space="preserve">ЭДО. Электронная </w:t>
                  </w:r>
                  <w:proofErr w:type="gramStart"/>
                  <w:r>
                    <w:rPr>
                      <w:rStyle w:val="HMField"/>
                    </w:rPr>
                    <w:t>накладная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Модификация и контроль данных</w:t>
                  </w:r>
                  <w:r>
                    <w:t xml:space="preserve">): </w:t>
                  </w:r>
                  <w:r>
                    <w:rPr>
                      <w:rStyle w:val="HMFieldVal"/>
                    </w:rPr>
                    <w:t>нет</w:t>
                  </w:r>
                  <w:r>
                    <w:t>/</w:t>
                  </w:r>
                  <w:r>
                    <w:rPr>
                      <w:rStyle w:val="HMFieldVal"/>
                    </w:rPr>
                    <w:t>да</w:t>
                  </w:r>
                  <w:r>
                    <w:t xml:space="preserve">. Если настройка включена, то при импорте накладной (локальная функция </w:t>
                  </w:r>
                  <w:r>
                    <w:rPr>
                      <w:rStyle w:val="HMMenu"/>
                    </w:rPr>
                    <w:t>Электронный документооборот (ЭДО</w:t>
                  </w:r>
                  <w:proofErr w:type="gramStart"/>
                  <w:r>
                    <w:rPr>
                      <w:rStyle w:val="HMMenu"/>
                    </w:rPr>
                    <w:t>)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Импорт документов</w:t>
                  </w:r>
                  <w:r>
                    <w:t>) автоматически устанавливаются признаки маркировки или прослеживаемости из импортируемых МЦ. При этом установленные признаки не снимаются.</w:t>
                  </w:r>
                </w:p>
                <w:p w:rsidR="000907AE" w:rsidRDefault="000907AE" w:rsidP="000907AE">
                  <w:pPr>
                    <w:pStyle w:val="HMBullet20"/>
                    <w:numPr>
                      <w:ilvl w:val="0"/>
                      <w:numId w:val="24"/>
                    </w:numPr>
                    <w:spacing w:before="60"/>
                  </w:pPr>
                  <w:r>
                    <w:rPr>
                      <w:rStyle w:val="HMField"/>
                    </w:rPr>
                    <w:t>Создавать ПЛ по ТС с неустановленным признаком "Карточка ТС окончательно оформлена"</w:t>
                  </w:r>
                  <w:r>
                    <w:t xml:space="preserve"> (</w:t>
                  </w:r>
                  <w:r>
                    <w:rPr>
                      <w:rStyle w:val="HMField"/>
                    </w:rPr>
                    <w:t xml:space="preserve">Управление </w:t>
                  </w:r>
                  <w:proofErr w:type="gramStart"/>
                  <w:r>
                    <w:rPr>
                      <w:rStyle w:val="HMField"/>
                    </w:rPr>
                    <w:t>транспортом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Регистрационные листы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Контроль при выписке ПЛ</w:t>
                  </w:r>
                  <w:r>
                    <w:t xml:space="preserve">): </w:t>
                  </w:r>
                  <w:r>
                    <w:rPr>
                      <w:rStyle w:val="HMFieldVal"/>
                    </w:rPr>
                    <w:t>нет</w:t>
                  </w:r>
                  <w:r>
                    <w:t xml:space="preserve"> / </w:t>
                  </w:r>
                  <w:r>
                    <w:rPr>
                      <w:rStyle w:val="HMFieldVal"/>
                    </w:rPr>
                    <w:t>да</w:t>
                  </w:r>
                  <w:r>
                    <w:t xml:space="preserve"> / </w:t>
                  </w:r>
                  <w:r>
                    <w:rPr>
                      <w:rStyle w:val="HMFieldVal"/>
                    </w:rPr>
                    <w:t>да, с установкой признака оформления карточки</w:t>
                  </w:r>
                  <w:r>
                    <w:t xml:space="preserve">. При значениях </w:t>
                  </w:r>
                  <w:r>
                    <w:rPr>
                      <w:rStyle w:val="HMFieldVal"/>
                    </w:rPr>
                    <w:t>да</w:t>
                  </w:r>
                  <w:r>
                    <w:t xml:space="preserve"> (по умолчанию) / </w:t>
                  </w:r>
                  <w:r>
                    <w:rPr>
                      <w:rStyle w:val="HMFieldVal"/>
                    </w:rPr>
                    <w:t>да, с установкой признака оформления карточки</w:t>
                  </w:r>
                  <w:r>
                    <w:t xml:space="preserve"> создание путевых листов по ТС с неустановленным признаком </w:t>
                  </w:r>
                  <w:r>
                    <w:rPr>
                      <w:rStyle w:val="HMField"/>
                    </w:rPr>
                    <w:t>карточка ТС окончательно оформлена</w:t>
                  </w:r>
                  <w:r>
                    <w:t xml:space="preserve"> разрешено, при автоматической установке признака окончательного оформления карточки ТС формируются записи из истории по данным карточки ТС с датами начала в соответствии со значением настройки </w:t>
                  </w:r>
                  <w:r>
                    <w:rPr>
                      <w:rStyle w:val="HMField"/>
                    </w:rPr>
                    <w:t>Дата начала для первой записи истории ТС и прицепа</w:t>
                  </w:r>
                  <w:r>
                    <w:t xml:space="preserve"> (</w:t>
                  </w:r>
                  <w:r>
                    <w:rPr>
                      <w:rStyle w:val="HMField"/>
                    </w:rPr>
                    <w:t>Управление транспортом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Картотеки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Картотека ТС</w:t>
                  </w:r>
                  <w:r>
                    <w:t xml:space="preserve">). При значении </w:t>
                  </w:r>
                  <w:r>
                    <w:rPr>
                      <w:rStyle w:val="HMFieldVal"/>
                    </w:rPr>
                    <w:t>нет</w:t>
                  </w:r>
                  <w:r>
                    <w:t xml:space="preserve">, если признак </w:t>
                  </w:r>
                  <w:r>
                    <w:rPr>
                      <w:rStyle w:val="HMField"/>
                    </w:rPr>
                    <w:t>карточка ТС окончательно оформлена</w:t>
                  </w:r>
                  <w:r>
                    <w:t xml:space="preserve"> не установлен, создавать путевые листы по ТС запрещено.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Реализовано формирование 2-х подписей при экспорте накладных на отпуск (локальная функция </w:t>
                  </w:r>
                  <w:r>
                    <w:rPr>
                      <w:rStyle w:val="HMMenu"/>
                    </w:rPr>
                    <w:t>Электронный документооборот (ЭДО</w:t>
                  </w:r>
                  <w:proofErr w:type="gramStart"/>
                  <w:r>
                    <w:rPr>
                      <w:rStyle w:val="HMMenu"/>
                    </w:rPr>
                    <w:t>)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Экспорт документов</w:t>
                  </w:r>
                  <w:r>
                    <w:t>), если назначены разные ответственные лица для разрешения отпуска и отгрузки товаров. Подпись выполняется при помощи сервиса SC-</w:t>
                  </w:r>
                  <w:proofErr w:type="spellStart"/>
                  <w:r>
                    <w:t>CryptoProxy</w:t>
                  </w:r>
                  <w:proofErr w:type="spellEnd"/>
                  <w:r>
                    <w:t xml:space="preserve">. Для его использования в общесистемный реестр добавлен новый раздел </w:t>
                  </w:r>
                  <w:r>
                    <w:rPr>
                      <w:rStyle w:val="HMField"/>
                    </w:rPr>
                    <w:t>Подпись документов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Сопроводительные 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ЭДО. Электронная накладная</w:t>
                  </w:r>
                  <w:r>
                    <w:t xml:space="preserve">) с настройками: </w:t>
                  </w:r>
                  <w:r>
                    <w:rPr>
                      <w:rStyle w:val="HMField"/>
                    </w:rPr>
                    <w:t>Подпись исходящих документов</w:t>
                  </w:r>
                  <w:r>
                    <w:t xml:space="preserve"> (</w:t>
                  </w:r>
                  <w:r>
                    <w:rPr>
                      <w:rStyle w:val="HMFieldVal"/>
                    </w:rPr>
                    <w:t>автоматическая</w:t>
                  </w:r>
                  <w:r>
                    <w:t xml:space="preserve"> / </w:t>
                  </w:r>
                  <w:r>
                    <w:rPr>
                      <w:rStyle w:val="HMFieldVal"/>
                    </w:rPr>
                    <w:t>одна подпись</w:t>
                  </w:r>
                  <w:r>
                    <w:t xml:space="preserve"> / </w:t>
                  </w:r>
                  <w:r>
                    <w:rPr>
                      <w:rStyle w:val="HMFieldVal"/>
                    </w:rPr>
                    <w:t>две подписи</w:t>
                  </w:r>
                  <w:r>
                    <w:t xml:space="preserve">); </w:t>
                  </w:r>
                  <w:r>
                    <w:rPr>
                      <w:rStyle w:val="HMField"/>
                    </w:rPr>
                    <w:t>Каталог для подписи исходящих сообщений</w:t>
                  </w:r>
                  <w:r>
                    <w:t xml:space="preserve">; </w:t>
                  </w:r>
                  <w:r>
                    <w:rPr>
                      <w:rStyle w:val="HMField"/>
                    </w:rPr>
                    <w:t>Сертификат для подписи</w:t>
                  </w:r>
                  <w:r>
                    <w:t xml:space="preserve">; </w:t>
                  </w:r>
                  <w:r>
                    <w:rPr>
                      <w:rStyle w:val="HMField"/>
                    </w:rPr>
                    <w:t>Адрес сервиса SC-</w:t>
                  </w:r>
                  <w:proofErr w:type="spellStart"/>
                  <w:r>
                    <w:rPr>
                      <w:rStyle w:val="HMField"/>
                    </w:rPr>
                    <w:t>CryptoProxy</w:t>
                  </w:r>
                  <w:proofErr w:type="spellEnd"/>
                  <w:r>
                    <w:t xml:space="preserve">; </w:t>
                  </w:r>
                  <w:r>
                    <w:rPr>
                      <w:rStyle w:val="HMField"/>
                    </w:rPr>
                    <w:t>Сотрудник, подписывающий документы</w:t>
                  </w:r>
                  <w:r>
                    <w:t xml:space="preserve">. Документы, которые нужно подписать, можно посмотреть в списке накладных на отпуск с помощью локальной функции </w:t>
                  </w:r>
                  <w:r>
                    <w:rPr>
                      <w:rStyle w:val="HMMenu"/>
                    </w:rPr>
                    <w:t>Электронный документооборот (ЭДО</w:t>
                  </w:r>
                  <w:proofErr w:type="gramStart"/>
                  <w:r>
                    <w:rPr>
                      <w:rStyle w:val="HMMenu"/>
                    </w:rPr>
                    <w:t>)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Подпись документа</w:t>
                  </w:r>
                  <w:r>
                    <w:t xml:space="preserve">. Для этих документов в ТТИ накладной должны быть указаны сотрудники в полях </w:t>
                  </w:r>
                  <w:r>
                    <w:rPr>
                      <w:rStyle w:val="HMField"/>
                    </w:rPr>
                    <w:t>Отпуск разрешил</w:t>
                  </w:r>
                  <w:r>
                    <w:t xml:space="preserve"> </w:t>
                  </w:r>
                  <w:proofErr w:type="gramStart"/>
                  <w:r>
                    <w:t xml:space="preserve">и </w:t>
                  </w:r>
                  <w:r>
                    <w:rPr>
                      <w:rStyle w:val="HMField"/>
                    </w:rPr>
                    <w:t>Сдал</w:t>
                  </w:r>
                  <w:proofErr w:type="gramEnd"/>
                  <w:r>
                    <w:rPr>
                      <w:rStyle w:val="HMField"/>
                    </w:rPr>
                    <w:t xml:space="preserve"> отправитель</w:t>
                  </w:r>
                  <w:r>
                    <w:t xml:space="preserve">. Один из них должен быть указан в настройке </w:t>
                  </w:r>
                  <w:r>
                    <w:rPr>
                      <w:rStyle w:val="HMField"/>
                    </w:rPr>
                    <w:t>Сотрудник, подписывающий документы</w:t>
                  </w:r>
                  <w:r>
                    <w:t xml:space="preserve">. Из списка документов для подписи по </w:t>
                  </w:r>
                  <w:proofErr w:type="spellStart"/>
                  <w:r>
                    <w:rPr>
                      <w:rStyle w:val="HMKey"/>
                    </w:rPr>
                    <w:t>Enter</w:t>
                  </w:r>
                  <w:proofErr w:type="spellEnd"/>
                  <w:r>
                    <w:t xml:space="preserve"> открывается </w:t>
                  </w:r>
                  <w:proofErr w:type="gramStart"/>
                  <w:r>
                    <w:t>окно ,</w:t>
                  </w:r>
                  <w:proofErr w:type="gramEnd"/>
                  <w:r>
                    <w:t xml:space="preserve"> в котором приводятся оба подписанта, указанные в ТТИ, и для каждого доступна кнопка [</w:t>
                  </w:r>
                  <w:r>
                    <w:rPr>
                      <w:rStyle w:val="HMButton"/>
                    </w:rPr>
                    <w:t>Подписать документ</w:t>
                  </w:r>
                  <w:r>
                    <w:t xml:space="preserve">]. Очередность подписи не важна. После подписания одним из сотрудников документу присваивается статус </w:t>
                  </w:r>
                  <w:r>
                    <w:rPr>
                      <w:rStyle w:val="HMFieldVal"/>
                    </w:rPr>
                    <w:t>Подписан частично</w:t>
                  </w:r>
                  <w:r>
                    <w:t xml:space="preserve">, после подписания обоими сотрудниками — </w:t>
                  </w:r>
                  <w:r>
                    <w:rPr>
                      <w:rStyle w:val="HMFieldVal"/>
                    </w:rPr>
                    <w:t>Подписан полностью</w:t>
                  </w:r>
                  <w:r>
                    <w:t>, после чего документ отправляется на портал.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lastRenderedPageBreak/>
                    <w:t>Доработан импорт электронных накладных (</w:t>
                  </w:r>
                  <w:r>
                    <w:rPr>
                      <w:rStyle w:val="HMMenu"/>
                    </w:rPr>
                    <w:t>Электронный документооборот (ЭДО</w:t>
                  </w:r>
                  <w:proofErr w:type="gramStart"/>
                  <w:r>
                    <w:rPr>
                      <w:rStyle w:val="HMMenu"/>
                    </w:rPr>
                    <w:t>)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Импорт документа</w:t>
                  </w:r>
                  <w:r>
                    <w:t>). Реализована возможность отправки ответа о непринятой накладной. Если переданный грузоотправителем документ содержит ошибки, неточности или нуждается в корректировке, то грузоотправителю по кнопке [</w:t>
                  </w:r>
                  <w:r>
                    <w:rPr>
                      <w:rStyle w:val="HMButton"/>
                    </w:rPr>
                    <w:t>Отправить уведомление об изменении</w:t>
                  </w:r>
                  <w:r>
                    <w:t xml:space="preserve">] отправляется уведомление об изменении с текстом о причинах непринятия накладной. После получения такого уведомления грузоотправитель создаст новую накладную, данная так и останется непринятой с состоянием </w:t>
                  </w:r>
                  <w:r>
                    <w:rPr>
                      <w:rStyle w:val="HMFieldVal"/>
                    </w:rPr>
                    <w:t>Сформировано уведомление</w:t>
                  </w:r>
                  <w:r>
                    <w:t>. Подробнее см. в обновлении.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Реализован экспорт/импорт ЭТН по аналогии с ЭТТН через локальное меню накладных </w:t>
                  </w:r>
                  <w:r>
                    <w:rPr>
                      <w:rStyle w:val="HMMenu"/>
                    </w:rPr>
                    <w:t>Электронный документооборот (ЭДО)</w:t>
                  </w:r>
                  <w:r>
                    <w:t xml:space="preserve">. В диалоговом окне экспорта нужно выбрать </w:t>
                  </w:r>
                  <w:r>
                    <w:rPr>
                      <w:rStyle w:val="HMField"/>
                    </w:rPr>
                    <w:t>Вид электронного документа</w:t>
                  </w:r>
                  <w:r>
                    <w:t xml:space="preserve"> — </w:t>
                  </w:r>
                  <w:proofErr w:type="spellStart"/>
                  <w:r>
                    <w:rPr>
                      <w:rStyle w:val="HMFieldVal"/>
                    </w:rPr>
                    <w:t>эТН</w:t>
                  </w:r>
                  <w:r>
                    <w:t>.</w:t>
                  </w:r>
                  <w:proofErr w:type="spellEnd"/>
                  <w:r>
                    <w:t xml:space="preserve"> В диалоговом окне импорта нужно выбрать </w:t>
                  </w:r>
                  <w:r>
                    <w:rPr>
                      <w:rStyle w:val="HMField"/>
                    </w:rPr>
                    <w:t>Тип входящего сообщения</w:t>
                  </w:r>
                  <w:r>
                    <w:t xml:space="preserve"> — </w:t>
                  </w:r>
                  <w:r>
                    <w:rPr>
                      <w:rStyle w:val="HMFieldVal"/>
                    </w:rPr>
                    <w:t>товарная накладная</w:t>
                  </w:r>
                  <w:r>
                    <w:t xml:space="preserve">. При экспорте поля с CMR заполняются значениями из настроек </w:t>
                  </w:r>
                  <w:r>
                    <w:rPr>
                      <w:rStyle w:val="HMField"/>
                    </w:rPr>
                    <w:t>Название накладной "CMR"</w:t>
                  </w:r>
                  <w:r>
                    <w:t xml:space="preserve">; </w:t>
                  </w:r>
                  <w:r>
                    <w:rPr>
                      <w:rStyle w:val="HMField"/>
                    </w:rPr>
                    <w:t>Сбыт. Атрибут накладных "Номер CMR"</w:t>
                  </w:r>
                  <w:r>
                    <w:t xml:space="preserve">; </w:t>
                  </w:r>
                  <w:r>
                    <w:rPr>
                      <w:rStyle w:val="HMField"/>
                    </w:rPr>
                    <w:t>Сбыт. Атрибут накладных "Дата CMR"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Налоги, документы для учета НДС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Беларусь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Дополнительные параметры</w:t>
                  </w:r>
                  <w:r>
                    <w:t>).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Предусмотрена возможность экспорта/импорта ЭТТН для накладных на внутреннее перемещение (НВП) в модулях </w:t>
                  </w:r>
                  <w:r>
                    <w:rPr>
                      <w:rStyle w:val="HMMenuM"/>
                    </w:rPr>
                    <w:t>Складской учет</w:t>
                  </w:r>
                  <w:r>
                    <w:t xml:space="preserve"> и </w:t>
                  </w:r>
                  <w:r>
                    <w:rPr>
                      <w:rStyle w:val="HMMenuM"/>
                    </w:rPr>
                    <w:t>Розничная торговля</w:t>
                  </w:r>
                  <w:r>
                    <w:t>. Для каждого подразделения, работающего с ЭТТН в EDI-системе СТТ, должны быть созданы учетные записи, логин и пароль, которые должны быть прописаны в адаптере EDI-системы. При этом каждая учетная запись будет работать с документами только своего подразделения. Подробнее о порядке работы с НВП см. в обновлении.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Для накладных на отпуск разработан каталог сертификатов ТТН. Вызов каталога осуществляется из товарно-транспортной информации по локальной функции </w:t>
                  </w:r>
                  <w:r>
                    <w:rPr>
                      <w:rStyle w:val="HMMenu"/>
                    </w:rPr>
                    <w:t>Каталог сертификатов ТТН</w:t>
                  </w:r>
                  <w:r>
                    <w:t xml:space="preserve">. В каталоге можно добавлять, редактировать и удалять записи. В спецификацию накладной на отпуск добавлено поле </w:t>
                  </w:r>
                  <w:proofErr w:type="spellStart"/>
                  <w:r>
                    <w:rPr>
                      <w:rStyle w:val="HMField"/>
                    </w:rPr>
                    <w:t>Серт</w:t>
                  </w:r>
                  <w:proofErr w:type="spellEnd"/>
                  <w:r>
                    <w:rPr>
                      <w:rStyle w:val="HMField"/>
                    </w:rPr>
                    <w:t>.</w:t>
                  </w:r>
                  <w:r>
                    <w:t xml:space="preserve"> — с его помощью выполняется привязка сертификата к позиции накладной. Если для МЦ не указана партия, то при привязке сертификата открывается дополнительное окно, в котором вручную указываются </w:t>
                  </w:r>
                  <w:r>
                    <w:rPr>
                      <w:rStyle w:val="HMField"/>
                    </w:rPr>
                    <w:t>Номер партии</w:t>
                  </w:r>
                  <w:r>
                    <w:t xml:space="preserve"> и </w:t>
                  </w:r>
                  <w:r>
                    <w:rPr>
                      <w:rStyle w:val="HMField"/>
                    </w:rPr>
                    <w:t>Дата производства</w:t>
                  </w:r>
                  <w:r>
                    <w:t xml:space="preserve">. В каталоге сертификатов с помощью локальной функции </w:t>
                  </w:r>
                  <w:r>
                    <w:rPr>
                      <w:rStyle w:val="HMMenu"/>
                    </w:rPr>
                    <w:t>Просмотр связанных документов</w:t>
                  </w:r>
                  <w:r>
                    <w:t xml:space="preserve"> можно просмотреть связи сертификатов с позициями документов.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В окно редактирования подразделения введено поле </w:t>
                  </w:r>
                  <w:r>
                    <w:rPr>
                      <w:rStyle w:val="HMField"/>
                    </w:rPr>
                    <w:t>Код GLN</w:t>
                  </w:r>
                  <w:r>
                    <w:t xml:space="preserve"> с проверкой вводимого значения (13 цифр). В окно со списком редактирования </w:t>
                  </w:r>
                  <w:r>
                    <w:rPr>
                      <w:rStyle w:val="HMMenu"/>
                    </w:rPr>
                    <w:t>Пунктов движения</w:t>
                  </w:r>
                  <w:r>
                    <w:t xml:space="preserve"> (</w:t>
                  </w:r>
                  <w:r>
                    <w:rPr>
                      <w:rStyle w:val="HMMenuM"/>
                    </w:rPr>
                    <w:t xml:space="preserve">Управление </w:t>
                  </w:r>
                  <w:proofErr w:type="gramStart"/>
                  <w:r>
                    <w:rPr>
                      <w:rStyle w:val="HMMenuM"/>
                    </w:rPr>
                    <w:t>транспортом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Настройка</w:t>
                  </w:r>
                  <w:r>
                    <w:t xml:space="preserve"> &gt; </w:t>
                  </w:r>
                  <w:r>
                    <w:rPr>
                      <w:rStyle w:val="HMMenu"/>
                    </w:rPr>
                    <w:t>Ведение БД</w:t>
                  </w:r>
                  <w:r>
                    <w:t xml:space="preserve">) добавлено поле </w:t>
                  </w:r>
                  <w:r>
                    <w:rPr>
                      <w:rStyle w:val="HMField"/>
                    </w:rPr>
                    <w:t>GLN код пункта</w:t>
                  </w:r>
                  <w:r>
                    <w:t xml:space="preserve"> погрузки/разгрузки.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В модуле </w:t>
                  </w:r>
                  <w:r>
                    <w:rPr>
                      <w:rStyle w:val="HMMenuM"/>
                    </w:rPr>
                    <w:t>Складской учет</w:t>
                  </w:r>
                  <w:r>
                    <w:t xml:space="preserve"> в меню </w:t>
                  </w:r>
                  <w:r>
                    <w:rPr>
                      <w:rStyle w:val="HMMenu"/>
                    </w:rPr>
                    <w:t>Операции</w:t>
                  </w:r>
                  <w:r>
                    <w:t xml:space="preserve"> добавлена группа </w:t>
                  </w:r>
                  <w:r>
                    <w:rPr>
                      <w:rStyle w:val="HMMenu"/>
                    </w:rPr>
                    <w:t>БСО</w:t>
                  </w:r>
                  <w:r>
                    <w:t xml:space="preserve">, в которую перенесена функция </w:t>
                  </w:r>
                  <w:r>
                    <w:rPr>
                      <w:rStyle w:val="HMMenu"/>
                    </w:rPr>
                    <w:t>Формирование актов на списание БСО</w:t>
                  </w:r>
                  <w:r>
                    <w:t xml:space="preserve">, а также добавлена новая функция </w:t>
                  </w:r>
                  <w:r>
                    <w:rPr>
                      <w:rStyle w:val="HMMenu"/>
                    </w:rPr>
                    <w:t>Формирование карточки БСО</w:t>
                  </w:r>
                  <w:r>
                    <w:t xml:space="preserve"> — позволяет сформировать карточки бланков строгой отчетности на основе серийных номеров из документов. Для этого серийные номера должны удовлетворять условиям: для серийного номера отсутствует карточка БСО; серийный номер находится в статусе </w:t>
                  </w:r>
                  <w:r>
                    <w:rPr>
                      <w:rStyle w:val="HMFieldVal"/>
                    </w:rPr>
                    <w:t>на хранении</w:t>
                  </w:r>
                  <w:r>
                    <w:t xml:space="preserve">; серийный номер привязан к МЦ в документах и МЦ оприходована; МЦ, к которой привязан серийный номер, принадлежит группе, указанной в настройке </w:t>
                  </w:r>
                  <w:r>
                    <w:rPr>
                      <w:rStyle w:val="HMField"/>
                    </w:rPr>
                    <w:t>Код группы МЦ — БСО</w:t>
                  </w:r>
                  <w:r>
                    <w:t xml:space="preserve"> (</w:t>
                  </w:r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Бланки строгой отчетности (БСО)</w:t>
                  </w:r>
                  <w:r>
                    <w:t>).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В окне редактирования </w:t>
                  </w:r>
                  <w:r>
                    <w:rPr>
                      <w:rStyle w:val="HMMenu"/>
                    </w:rPr>
                    <w:t>Карточки БСО</w:t>
                  </w:r>
                  <w:r>
                    <w:t xml:space="preserve"> появилась возможность корректировки даты создания карточки.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>Для печатных форм актов на списание БСО (формируются из актов на списание) добавлены вывод основания для списания бланков, стоимость по каждой позиции и всего по акту и проч.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Доработана FastReport-форма </w:t>
                  </w:r>
                  <w:r>
                    <w:rPr>
                      <w:rStyle w:val="HMFieldVal"/>
                    </w:rPr>
                    <w:t>Приходно-расходная накладная на БСО (приложение 3)</w:t>
                  </w:r>
                  <w:r>
                    <w:t xml:space="preserve"> (формируется из накладной на внутреннее перемещение): добавлены стоимостные показатели, в поток отчета добавлена цена </w:t>
                  </w:r>
                  <w:proofErr w:type="spellStart"/>
                  <w:r>
                    <w:t>SerialNTbl.PriceBSO</w:t>
                  </w:r>
                  <w:proofErr w:type="spellEnd"/>
                  <w:r>
                    <w:t>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lastRenderedPageBreak/>
                    <w:t xml:space="preserve">Скорректирована печатная форма отчета </w:t>
                  </w:r>
                  <w:r>
                    <w:rPr>
                      <w:rStyle w:val="HMFieldVal"/>
                    </w:rPr>
                    <w:t>Инвентаризационная опись ИНВ-8а</w:t>
                  </w:r>
                  <w:r>
                    <w:t xml:space="preserve"> (формируется по локальной функции </w:t>
                  </w:r>
                  <w:r>
                    <w:rPr>
                      <w:rStyle w:val="HMMenu"/>
                    </w:rPr>
                    <w:t>Групповая печать инвентаризационной описи</w:t>
                  </w:r>
                  <w:r>
                    <w:t xml:space="preserve"> в списке документов по инвентаризации): изменены заголовки колонок, выполнены изменения по тексту.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Доработана функция </w:t>
                  </w:r>
                  <w:r>
                    <w:rPr>
                      <w:rStyle w:val="HMMenu"/>
                    </w:rPr>
                    <w:t>Выбор партии из текущих остатков</w:t>
                  </w:r>
                  <w:r>
                    <w:t xml:space="preserve"> / </w:t>
                  </w:r>
                  <w:r>
                    <w:rPr>
                      <w:rStyle w:val="HMMenu"/>
                    </w:rPr>
                    <w:t>Текущие остатки МЦ</w:t>
                  </w:r>
                  <w:r>
                    <w:t xml:space="preserve"> (</w:t>
                  </w:r>
                  <w:r>
                    <w:rPr>
                      <w:rStyle w:val="HMKey"/>
                    </w:rPr>
                    <w:t>Ctrl+F2</w:t>
                  </w:r>
                  <w:r>
                    <w:t>), вызываемая в спецификации документов. Теперь вызов функции возможен даже при запрете редактирования документа, но только для просмотра текущих остатков. Доработка выполнена в документах: приходная накладная, накладная на отгрузку, акт на списание, накладная на внутреннее перемещение, акт на пересортицу, акт комплектации, акт комплектации по партиям.</w:t>
                  </w:r>
                </w:p>
                <w:p w:rsidR="000907AE" w:rsidRDefault="000907AE" w:rsidP="000907AE">
                  <w:pPr>
                    <w:pStyle w:val="HMBullet0"/>
                    <w:numPr>
                      <w:ilvl w:val="0"/>
                      <w:numId w:val="23"/>
                    </w:numPr>
                  </w:pPr>
                  <w:r>
                    <w:t xml:space="preserve">В модуле </w:t>
                  </w:r>
                  <w:r>
                    <w:rPr>
                      <w:rStyle w:val="HMMenuM"/>
                    </w:rPr>
                    <w:t>Розничная торговля</w:t>
                  </w:r>
                  <w:r>
                    <w:t xml:space="preserve"> реализована возможность привязки серийных номеров / кодов маркировки к </w:t>
                  </w:r>
                  <w:r>
                    <w:rPr>
                      <w:rStyle w:val="HMMenu"/>
                    </w:rPr>
                    <w:t>Накладным на внутреннее перемещение</w:t>
                  </w:r>
                  <w:r>
                    <w:t>.</w:t>
                  </w:r>
                </w:p>
                <w:p w:rsidR="000907AE" w:rsidRDefault="000907AE" w:rsidP="000907AE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L_Box.res.9.1.75.0</w:t>
                  </w:r>
                  <w:r>
                    <w:t xml:space="preserve">. Доработан алгоритм </w:t>
                  </w:r>
                  <w:proofErr w:type="spellStart"/>
                  <w:r>
                    <w:t>автоформирования</w:t>
                  </w:r>
                  <w:proofErr w:type="spellEnd"/>
                  <w:r>
                    <w:t xml:space="preserve"> плана отгрузки в </w:t>
                  </w:r>
                  <w:r>
                    <w:rPr>
                      <w:rStyle w:val="HMMenu"/>
                    </w:rPr>
                    <w:t>Распоряжениях на отгрузку МТР из ячеек хранения</w:t>
                  </w:r>
                  <w:r>
                    <w:t xml:space="preserve">: план формируется на основании спецификации документа-основания, в котором указана аналитика </w:t>
                  </w:r>
                  <w:r>
                    <w:rPr>
                      <w:rStyle w:val="HMFieldVal"/>
                    </w:rPr>
                    <w:t>Штрихкод</w:t>
                  </w:r>
                  <w:r>
                    <w:t>; если план не сформирован либо сформирован частично, выдается соответствующее сообщение; формирование плана выполняется до первой ошибки, затем процесс прерывается; частично сформированный план удаляется.</w:t>
                  </w:r>
                </w:p>
              </w:tc>
              <w:tc>
                <w:tcPr>
                  <w:tcW w:w="9075" w:type="dxa"/>
                </w:tcPr>
                <w:p w:rsidR="000907AE" w:rsidRDefault="000907AE" w:rsidP="000907AE">
                  <w:pPr>
                    <w:spacing w:before="60" w:after="60" w:line="240" w:lineRule="auto"/>
                    <w:jc w:val="both"/>
                  </w:pPr>
                </w:p>
              </w:tc>
            </w:tr>
          </w:tbl>
          <w:p w:rsidR="00DA7EAC" w:rsidRDefault="00DA7EAC" w:rsidP="00BE7FF5">
            <w:pPr>
              <w:spacing w:line="240" w:lineRule="auto"/>
            </w:pPr>
          </w:p>
        </w:tc>
      </w:tr>
    </w:tbl>
    <w:p w:rsidR="00E978B8" w:rsidRDefault="00E978B8" w:rsidP="00BE7FF5">
      <w:pPr>
        <w:pStyle w:val="HMHeadSection0"/>
      </w:pPr>
      <w:r>
        <w:lastRenderedPageBreak/>
        <w:t>Управление персоналом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p w:rsidR="000907AE" w:rsidRDefault="000907AE" w:rsidP="000907AE">
            <w:pPr>
              <w:pStyle w:val="HMBody11"/>
            </w:pPr>
            <w:r w:rsidRPr="000907AE">
              <w:rPr>
                <w:rStyle w:val="HMAccent2"/>
                <w:i/>
                <w:lang w:val="en-US"/>
              </w:rPr>
              <w:t>STAFF_9.1_377</w:t>
            </w:r>
            <w:r w:rsidRPr="000907AE">
              <w:rPr>
                <w:rStyle w:val="HMBody10"/>
                <w:lang w:val="en-US"/>
              </w:rPr>
              <w:t xml:space="preserve"> (</w:t>
            </w:r>
            <w:r w:rsidRPr="000907AE">
              <w:rPr>
                <w:rStyle w:val="HMFieldVal"/>
                <w:lang w:val="en-US"/>
              </w:rPr>
              <w:t>Z_StaffCat.res.9.1.180.0</w:t>
            </w:r>
            <w:r w:rsidRPr="000907AE">
              <w:rPr>
                <w:rStyle w:val="HMBody10"/>
                <w:lang w:val="en-US"/>
              </w:rPr>
              <w:t xml:space="preserve">, </w:t>
            </w:r>
            <w:r w:rsidRPr="000907AE">
              <w:rPr>
                <w:rStyle w:val="HMFieldVal"/>
                <w:lang w:val="en-US"/>
              </w:rPr>
              <w:t>Z_StaffNastr.res.9.1.169.0</w:t>
            </w:r>
            <w:r w:rsidRPr="000907AE">
              <w:rPr>
                <w:rStyle w:val="HMBody10"/>
                <w:lang w:val="en-US"/>
              </w:rPr>
              <w:t xml:space="preserve">, </w:t>
            </w:r>
            <w:r w:rsidRPr="000907AE">
              <w:rPr>
                <w:rStyle w:val="HMFieldVal"/>
                <w:lang w:val="en-US"/>
              </w:rPr>
              <w:t>Z_StaffPensioner.res.9.1.175.0</w:t>
            </w:r>
            <w:r w:rsidRPr="000907AE">
              <w:rPr>
                <w:rStyle w:val="HMBody10"/>
                <w:lang w:val="en-US"/>
              </w:rPr>
              <w:t xml:space="preserve">). </w:t>
            </w:r>
            <w:r>
              <w:rPr>
                <w:rStyle w:val="HMBody10"/>
              </w:rPr>
              <w:t>При формировании формы ПУ-6 для стажей "ЛЕТСОСТ240", "ЛЕТСОСТ144", "ЛЕТИСПЫТ", "ИНСПЕКТИР", "ИТСИСП120", "ИТСВЕР60", "ИТСИСП50", "ИТСВЕР25", "БОРТОПЕР20", "БОРТОПЕР12", "БОРТПРОВ" указывается период нахождения на должности, а не период работы во вредных условиях (т. е. для данных видов деятельности вредность в рабочих табелях не анализируется). Исключения составляют сотрудники, принятые на работу в течение года или переведенные на вредность в течение года, или уволенные, или переведенные на невредную должность: по таким сотрудникам стаж для ПУ-6 формируется с даты приема/перевода по конец года или по дату увольнения/перевода на невредную должность.</w:t>
            </w:r>
          </w:p>
          <w:p w:rsidR="000907AE" w:rsidRDefault="000907AE" w:rsidP="000907AE">
            <w:pPr>
              <w:pStyle w:val="HMBody11"/>
            </w:pPr>
            <w:r>
              <w:rPr>
                <w:rStyle w:val="HMAccent2"/>
                <w:i/>
              </w:rPr>
              <w:t>Z_NDFL.res.9.1.197.0</w:t>
            </w:r>
            <w:r>
              <w:rPr>
                <w:rStyle w:val="HMBody10"/>
              </w:rPr>
              <w:t>. В связи с изменениями, вступившими в силу с 17.07.2025 (постановлением МНС РБ от 27.06.2025 № 34 внесены корректировки в порядок заполнения формы сведений о доходах физических лиц), скорректировано название представляемой за 2025 год формы по приложению 9 — "Сведения о доходах физических лиц, признаваемых объектами налогообложения подоходным налогом с физических лиц, облагаемых по различным ставкам подоходного налога с физических лиц, включая сведения о льготах и суммах подоходного налога с физических лиц, представляемых организациями, представительствами иностранных организаций, открытыми в порядке, установленном законодательством, белорусскими индивидуальными предпринимателями, областными (Минской городской) нотариальными палатами, нотариусами, осуществляющими нотариальную деятельность в нотариальном бюро, филиалами, в том числе филиалами иностранных организаций, признаваемыми налоговыми агентами". Также изменен перечень кодов освобождаемых доходов: добавлен код 521; исключены коды 510, 511, 531, 536; изменено наименование кода 703. Обновление справочников видов доходов и вычетов для 2025 и последующих годов осуществляется при выполнении функции инициализации.</w:t>
            </w:r>
          </w:p>
          <w:p w:rsidR="00E978B8" w:rsidRDefault="000907AE" w:rsidP="000907AE">
            <w:pPr>
              <w:pStyle w:val="HMBullet0"/>
              <w:ind w:left="0" w:firstLine="0"/>
            </w:pPr>
            <w:r>
              <w:rPr>
                <w:rStyle w:val="HMAccent2"/>
                <w:i/>
              </w:rPr>
              <w:t>Z_Statis.res.9.1.170.0</w:t>
            </w:r>
            <w:r>
              <w:rPr>
                <w:rStyle w:val="HMBody10"/>
              </w:rPr>
              <w:t xml:space="preserve">. Реализованы две новые формы статистического отчета по труду 12-т: </w:t>
            </w:r>
            <w:r w:rsidRPr="000907AE">
              <w:rPr>
                <w:rStyle w:val="HMBody10"/>
                <w:i/>
              </w:rPr>
              <w:t>от 25.09.2025</w:t>
            </w:r>
            <w:r>
              <w:rPr>
                <w:rStyle w:val="HMBody10"/>
              </w:rPr>
              <w:t xml:space="preserve"> — добавлена таблица 4 с показателями о количестве штатных единиц и вакансий; </w:t>
            </w:r>
            <w:r w:rsidRPr="000907AE">
              <w:rPr>
                <w:rStyle w:val="HMBody10"/>
                <w:i/>
              </w:rPr>
              <w:t>от 20.01.2026</w:t>
            </w:r>
            <w:r>
              <w:rPr>
                <w:rStyle w:val="HMBody10"/>
              </w:rPr>
              <w:t xml:space="preserve"> — исключены строки 07 "Размер тарифной ставки I разряда, фактически сложившийся в организации для всего персонала" и 15 "Задолженность по кредитам и займам на выплату заработной платы по состоянию на 1 число месяца, следующего за отчетным периодом (счета бухгалтерского учета 66, 67)".</w:t>
            </w:r>
          </w:p>
        </w:tc>
      </w:tr>
    </w:tbl>
    <w:p w:rsidR="00FF2E28" w:rsidRPr="00F52741" w:rsidRDefault="00FF2E28" w:rsidP="00BE7FF5">
      <w:pPr>
        <w:spacing w:after="0" w:line="240" w:lineRule="auto"/>
        <w:rPr>
          <w:rFonts w:ascii="Calibri" w:hAnsi="Calibri" w:cs="Calibri"/>
          <w:color w:val="000000"/>
          <w:szCs w:val="24"/>
        </w:rPr>
      </w:pPr>
    </w:p>
    <w:sectPr w:rsidR="00FF2E28" w:rsidRPr="00F52741" w:rsidSect="009920A3">
      <w:footerReference w:type="even" r:id="rId7"/>
      <w:footerReference w:type="default" r:id="rId8"/>
      <w:footerReference w:type="first" r:id="rId9"/>
      <w:pgSz w:w="11906" w:h="16838"/>
      <w:pgMar w:top="1134" w:right="1418" w:bottom="1134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588" w:rsidRDefault="00111588">
      <w:pPr>
        <w:spacing w:after="0" w:line="240" w:lineRule="auto"/>
      </w:pPr>
      <w:r>
        <w:separator/>
      </w:r>
    </w:p>
  </w:endnote>
  <w:endnote w:type="continuationSeparator" w:id="0">
    <w:p w:rsidR="00111588" w:rsidRDefault="0011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111588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588" w:rsidRDefault="00111588">
      <w:pPr>
        <w:spacing w:after="0" w:line="240" w:lineRule="auto"/>
      </w:pPr>
      <w:r>
        <w:separator/>
      </w:r>
    </w:p>
  </w:footnote>
  <w:footnote w:type="continuationSeparator" w:id="0">
    <w:p w:rsidR="00111588" w:rsidRDefault="0011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CA29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D442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26EB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6CE1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147C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9C9B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C88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F00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92E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EAE2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E40EE"/>
    <w:multiLevelType w:val="singleLevel"/>
    <w:tmpl w:val="4DBCAE26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13EF6DA1"/>
    <w:multiLevelType w:val="hybridMultilevel"/>
    <w:tmpl w:val="29142ED0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B663F"/>
    <w:multiLevelType w:val="singleLevel"/>
    <w:tmpl w:val="7FCC441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3" w15:restartNumberingAfterBreak="0">
    <w:nsid w:val="1EC10A5B"/>
    <w:multiLevelType w:val="singleLevel"/>
    <w:tmpl w:val="ED2C594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9E62802"/>
    <w:multiLevelType w:val="singleLevel"/>
    <w:tmpl w:val="0586219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2BE07A6B"/>
    <w:multiLevelType w:val="singleLevel"/>
    <w:tmpl w:val="48764AC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3BB01D1F"/>
    <w:multiLevelType w:val="singleLevel"/>
    <w:tmpl w:val="EB02491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3D1B7215"/>
    <w:multiLevelType w:val="singleLevel"/>
    <w:tmpl w:val="C6D42B8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5FD671FB"/>
    <w:multiLevelType w:val="hybridMultilevel"/>
    <w:tmpl w:val="F642F87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43727D"/>
    <w:multiLevelType w:val="singleLevel"/>
    <w:tmpl w:val="CAF0E16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69855D65"/>
    <w:multiLevelType w:val="singleLevel"/>
    <w:tmpl w:val="73C6D3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6F2232FA"/>
    <w:multiLevelType w:val="singleLevel"/>
    <w:tmpl w:val="DB94556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79C264CA"/>
    <w:multiLevelType w:val="hybridMultilevel"/>
    <w:tmpl w:val="7A9C54A2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23"/>
  </w:num>
  <w:num w:numId="5">
    <w:abstractNumId w:val="17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20"/>
  </w:num>
  <w:num w:numId="19">
    <w:abstractNumId w:val="22"/>
  </w:num>
  <w:num w:numId="20">
    <w:abstractNumId w:val="18"/>
  </w:num>
  <w:num w:numId="21">
    <w:abstractNumId w:val="12"/>
  </w:num>
  <w:num w:numId="22">
    <w:abstractNumId w:val="11"/>
  </w:num>
  <w:num w:numId="23">
    <w:abstractNumId w:val="15"/>
  </w:num>
  <w:num w:numId="2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28A5"/>
    <w:rsid w:val="00006BAD"/>
    <w:rsid w:val="00012AE7"/>
    <w:rsid w:val="0002265F"/>
    <w:rsid w:val="0002305B"/>
    <w:rsid w:val="00025AC4"/>
    <w:rsid w:val="000263AE"/>
    <w:rsid w:val="0002689B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07AE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2C75"/>
    <w:rsid w:val="000C5A83"/>
    <w:rsid w:val="000D2CD8"/>
    <w:rsid w:val="000D39CC"/>
    <w:rsid w:val="000D5267"/>
    <w:rsid w:val="000E1B06"/>
    <w:rsid w:val="000E5327"/>
    <w:rsid w:val="000E54E7"/>
    <w:rsid w:val="000E5FBD"/>
    <w:rsid w:val="000E72E2"/>
    <w:rsid w:val="000F45C3"/>
    <w:rsid w:val="000F593A"/>
    <w:rsid w:val="000F7A93"/>
    <w:rsid w:val="00102BC4"/>
    <w:rsid w:val="0010585D"/>
    <w:rsid w:val="0010755F"/>
    <w:rsid w:val="00111588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0E39"/>
    <w:rsid w:val="00192A13"/>
    <w:rsid w:val="00192FE1"/>
    <w:rsid w:val="001A0FFF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52C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2943"/>
    <w:rsid w:val="002547AC"/>
    <w:rsid w:val="00256157"/>
    <w:rsid w:val="0026393A"/>
    <w:rsid w:val="0026585C"/>
    <w:rsid w:val="00265CD6"/>
    <w:rsid w:val="002715E1"/>
    <w:rsid w:val="002722BF"/>
    <w:rsid w:val="0027277D"/>
    <w:rsid w:val="00272C0F"/>
    <w:rsid w:val="002821BE"/>
    <w:rsid w:val="00285AD9"/>
    <w:rsid w:val="00291C89"/>
    <w:rsid w:val="00295B76"/>
    <w:rsid w:val="002970D4"/>
    <w:rsid w:val="002A3A39"/>
    <w:rsid w:val="002A63B6"/>
    <w:rsid w:val="002A76CA"/>
    <w:rsid w:val="002B1BDE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37A17"/>
    <w:rsid w:val="0034229F"/>
    <w:rsid w:val="00345557"/>
    <w:rsid w:val="00350AE8"/>
    <w:rsid w:val="00351CCF"/>
    <w:rsid w:val="003574D7"/>
    <w:rsid w:val="00374A2B"/>
    <w:rsid w:val="00376591"/>
    <w:rsid w:val="0037773E"/>
    <w:rsid w:val="0037793C"/>
    <w:rsid w:val="003806EB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3F4DEF"/>
    <w:rsid w:val="00400C18"/>
    <w:rsid w:val="00401634"/>
    <w:rsid w:val="00403E5D"/>
    <w:rsid w:val="004054FF"/>
    <w:rsid w:val="004064A4"/>
    <w:rsid w:val="00406D53"/>
    <w:rsid w:val="00407D87"/>
    <w:rsid w:val="004108F1"/>
    <w:rsid w:val="0041489F"/>
    <w:rsid w:val="00416426"/>
    <w:rsid w:val="0042488E"/>
    <w:rsid w:val="00427E52"/>
    <w:rsid w:val="004304EC"/>
    <w:rsid w:val="00434069"/>
    <w:rsid w:val="00435ED3"/>
    <w:rsid w:val="004366D9"/>
    <w:rsid w:val="00436CA1"/>
    <w:rsid w:val="00446944"/>
    <w:rsid w:val="00446D29"/>
    <w:rsid w:val="004473EC"/>
    <w:rsid w:val="00454281"/>
    <w:rsid w:val="00457390"/>
    <w:rsid w:val="004628CF"/>
    <w:rsid w:val="0046331C"/>
    <w:rsid w:val="00467644"/>
    <w:rsid w:val="00482D9A"/>
    <w:rsid w:val="004830E5"/>
    <w:rsid w:val="004847F5"/>
    <w:rsid w:val="00490441"/>
    <w:rsid w:val="004909BD"/>
    <w:rsid w:val="004918C8"/>
    <w:rsid w:val="00492C9D"/>
    <w:rsid w:val="00493279"/>
    <w:rsid w:val="004A292A"/>
    <w:rsid w:val="004A2D91"/>
    <w:rsid w:val="004A7A54"/>
    <w:rsid w:val="004B0AB3"/>
    <w:rsid w:val="004B7B12"/>
    <w:rsid w:val="004C726F"/>
    <w:rsid w:val="004D259D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4F5F86"/>
    <w:rsid w:val="00504CF3"/>
    <w:rsid w:val="0050744D"/>
    <w:rsid w:val="00511268"/>
    <w:rsid w:val="00512020"/>
    <w:rsid w:val="00515D91"/>
    <w:rsid w:val="0052105C"/>
    <w:rsid w:val="005237A7"/>
    <w:rsid w:val="00524D9E"/>
    <w:rsid w:val="005341CE"/>
    <w:rsid w:val="00541F51"/>
    <w:rsid w:val="005446FB"/>
    <w:rsid w:val="00545EC6"/>
    <w:rsid w:val="00552439"/>
    <w:rsid w:val="0055267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A26D6"/>
    <w:rsid w:val="005B298B"/>
    <w:rsid w:val="005B3CF7"/>
    <w:rsid w:val="005B752F"/>
    <w:rsid w:val="005C1454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4960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E3C8F"/>
    <w:rsid w:val="006F3A29"/>
    <w:rsid w:val="007018B8"/>
    <w:rsid w:val="00702913"/>
    <w:rsid w:val="00706B22"/>
    <w:rsid w:val="00732A8D"/>
    <w:rsid w:val="00733516"/>
    <w:rsid w:val="007403F1"/>
    <w:rsid w:val="0074286D"/>
    <w:rsid w:val="00742B93"/>
    <w:rsid w:val="00756891"/>
    <w:rsid w:val="00763234"/>
    <w:rsid w:val="00765C73"/>
    <w:rsid w:val="007723E0"/>
    <w:rsid w:val="007736A5"/>
    <w:rsid w:val="00777151"/>
    <w:rsid w:val="00785584"/>
    <w:rsid w:val="007937C5"/>
    <w:rsid w:val="00797C5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1E3D"/>
    <w:rsid w:val="007F236C"/>
    <w:rsid w:val="007F374A"/>
    <w:rsid w:val="00801E0B"/>
    <w:rsid w:val="00806FDF"/>
    <w:rsid w:val="00811836"/>
    <w:rsid w:val="00811C72"/>
    <w:rsid w:val="00815808"/>
    <w:rsid w:val="00816C9F"/>
    <w:rsid w:val="00820097"/>
    <w:rsid w:val="008216F3"/>
    <w:rsid w:val="008236F2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64FC5"/>
    <w:rsid w:val="00870615"/>
    <w:rsid w:val="00870ABA"/>
    <w:rsid w:val="00871A4D"/>
    <w:rsid w:val="00881FA8"/>
    <w:rsid w:val="00890766"/>
    <w:rsid w:val="00893F17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26FF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0EFA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56AA"/>
    <w:rsid w:val="00960C5D"/>
    <w:rsid w:val="009636CB"/>
    <w:rsid w:val="00974A99"/>
    <w:rsid w:val="009801A5"/>
    <w:rsid w:val="009803E8"/>
    <w:rsid w:val="009920A3"/>
    <w:rsid w:val="009957C1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695D"/>
    <w:rsid w:val="009D75D9"/>
    <w:rsid w:val="009E2271"/>
    <w:rsid w:val="009E59C2"/>
    <w:rsid w:val="009E64CE"/>
    <w:rsid w:val="009E7750"/>
    <w:rsid w:val="009F035C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B6862"/>
    <w:rsid w:val="00AC0BD3"/>
    <w:rsid w:val="00AC54F8"/>
    <w:rsid w:val="00AC733A"/>
    <w:rsid w:val="00AD0756"/>
    <w:rsid w:val="00AE100C"/>
    <w:rsid w:val="00AE2CB4"/>
    <w:rsid w:val="00AE4898"/>
    <w:rsid w:val="00AE74D6"/>
    <w:rsid w:val="00AF0DEB"/>
    <w:rsid w:val="00AF1943"/>
    <w:rsid w:val="00AF7594"/>
    <w:rsid w:val="00B03E68"/>
    <w:rsid w:val="00B14979"/>
    <w:rsid w:val="00B16B57"/>
    <w:rsid w:val="00B24B0F"/>
    <w:rsid w:val="00B301DC"/>
    <w:rsid w:val="00B30AA5"/>
    <w:rsid w:val="00B4362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E7FF5"/>
    <w:rsid w:val="00BF2620"/>
    <w:rsid w:val="00BF3FEA"/>
    <w:rsid w:val="00BF63A1"/>
    <w:rsid w:val="00BF7CBF"/>
    <w:rsid w:val="00C00E45"/>
    <w:rsid w:val="00C0621B"/>
    <w:rsid w:val="00C1093C"/>
    <w:rsid w:val="00C20546"/>
    <w:rsid w:val="00C22132"/>
    <w:rsid w:val="00C35349"/>
    <w:rsid w:val="00C3641B"/>
    <w:rsid w:val="00C36887"/>
    <w:rsid w:val="00C36902"/>
    <w:rsid w:val="00C36E87"/>
    <w:rsid w:val="00C37005"/>
    <w:rsid w:val="00C437C2"/>
    <w:rsid w:val="00C44322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A56B8"/>
    <w:rsid w:val="00CB76DC"/>
    <w:rsid w:val="00CC0262"/>
    <w:rsid w:val="00CC0D49"/>
    <w:rsid w:val="00CC11D6"/>
    <w:rsid w:val="00CC5A0C"/>
    <w:rsid w:val="00CC6655"/>
    <w:rsid w:val="00CD19F0"/>
    <w:rsid w:val="00CD4A3A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320B"/>
    <w:rsid w:val="00D473F2"/>
    <w:rsid w:val="00D47CD5"/>
    <w:rsid w:val="00D56DBD"/>
    <w:rsid w:val="00D65646"/>
    <w:rsid w:val="00D67BB4"/>
    <w:rsid w:val="00D74278"/>
    <w:rsid w:val="00D77198"/>
    <w:rsid w:val="00D7799B"/>
    <w:rsid w:val="00D81358"/>
    <w:rsid w:val="00D82936"/>
    <w:rsid w:val="00D84F8B"/>
    <w:rsid w:val="00D945C6"/>
    <w:rsid w:val="00DA15D8"/>
    <w:rsid w:val="00DA2B91"/>
    <w:rsid w:val="00DA3601"/>
    <w:rsid w:val="00DA436D"/>
    <w:rsid w:val="00DA7EAC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50E4"/>
    <w:rsid w:val="00DE6AF1"/>
    <w:rsid w:val="00DF0B5F"/>
    <w:rsid w:val="00DF3911"/>
    <w:rsid w:val="00DF4693"/>
    <w:rsid w:val="00DF66C5"/>
    <w:rsid w:val="00E006C9"/>
    <w:rsid w:val="00E008F7"/>
    <w:rsid w:val="00E06D97"/>
    <w:rsid w:val="00E159EC"/>
    <w:rsid w:val="00E16CF0"/>
    <w:rsid w:val="00E32537"/>
    <w:rsid w:val="00E35C26"/>
    <w:rsid w:val="00E404E0"/>
    <w:rsid w:val="00E41A08"/>
    <w:rsid w:val="00E4528E"/>
    <w:rsid w:val="00E46155"/>
    <w:rsid w:val="00E47B0B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978B8"/>
    <w:rsid w:val="00EA3A6C"/>
    <w:rsid w:val="00EA58C4"/>
    <w:rsid w:val="00EA6CFE"/>
    <w:rsid w:val="00EA6F44"/>
    <w:rsid w:val="00EB1C8C"/>
    <w:rsid w:val="00EC0E53"/>
    <w:rsid w:val="00EC4630"/>
    <w:rsid w:val="00EC7F04"/>
    <w:rsid w:val="00ED14BF"/>
    <w:rsid w:val="00ED719E"/>
    <w:rsid w:val="00EE35A4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2741"/>
    <w:rsid w:val="00F5500C"/>
    <w:rsid w:val="00F62BBE"/>
    <w:rsid w:val="00F63AD6"/>
    <w:rsid w:val="00F667D6"/>
    <w:rsid w:val="00F72408"/>
    <w:rsid w:val="00F73754"/>
    <w:rsid w:val="00F738C1"/>
    <w:rsid w:val="00F75000"/>
    <w:rsid w:val="00F76FCE"/>
    <w:rsid w:val="00F842F6"/>
    <w:rsid w:val="00F85BD1"/>
    <w:rsid w:val="00F905C3"/>
    <w:rsid w:val="00F912D8"/>
    <w:rsid w:val="00F94DE1"/>
    <w:rsid w:val="00F9655F"/>
    <w:rsid w:val="00F9706C"/>
    <w:rsid w:val="00F97352"/>
    <w:rsid w:val="00FA0605"/>
    <w:rsid w:val="00FA36ED"/>
    <w:rsid w:val="00FC0A4D"/>
    <w:rsid w:val="00FD1F6E"/>
    <w:rsid w:val="00FD28D0"/>
    <w:rsid w:val="00FD76C2"/>
    <w:rsid w:val="00FD777B"/>
    <w:rsid w:val="00FE0A70"/>
    <w:rsid w:val="00FE624C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2025-10-02T08:20:00Z</dcterms:created>
  <dcterms:modified xsi:type="dcterms:W3CDTF">2025-10-02T08:20:00Z</dcterms:modified>
</cp:coreProperties>
</file>