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A645C" w:rsidRDefault="00571DC7" w:rsidP="00BA67AC">
      <w:pPr>
        <w:pStyle w:val="HMHeading10"/>
        <w:spacing w:after="240"/>
        <w:rPr>
          <w:rFonts w:cstheme="minorHAnsi"/>
        </w:rPr>
      </w:pPr>
      <w:r w:rsidRPr="006A645C">
        <w:rPr>
          <w:rFonts w:cstheme="minorHAnsi"/>
        </w:rPr>
        <w:t>Хроника текущих событий Управления разработки</w:t>
      </w:r>
      <w:r w:rsidRPr="006A645C">
        <w:rPr>
          <w:rFonts w:cstheme="minorHAnsi"/>
        </w:rPr>
        <w:br/>
        <w:t>(01.</w:t>
      </w:r>
      <w:r w:rsidR="00096113" w:rsidRPr="006A645C">
        <w:rPr>
          <w:rFonts w:cstheme="minorHAnsi"/>
        </w:rPr>
        <w:t>0</w:t>
      </w:r>
      <w:r w:rsidR="00A93865" w:rsidRPr="006A645C">
        <w:rPr>
          <w:rFonts w:cstheme="minorHAnsi"/>
        </w:rPr>
        <w:t>9</w:t>
      </w:r>
      <w:r w:rsidRPr="006A645C">
        <w:rPr>
          <w:rFonts w:cstheme="minorHAnsi"/>
        </w:rPr>
        <w:t>.202</w:t>
      </w:r>
      <w:r w:rsidR="00E47B0B" w:rsidRPr="006A645C">
        <w:rPr>
          <w:rFonts w:cstheme="minorHAnsi"/>
        </w:rPr>
        <w:t>4</w:t>
      </w:r>
      <w:r w:rsidRPr="006A645C">
        <w:rPr>
          <w:rFonts w:cstheme="minorHAnsi"/>
        </w:rPr>
        <w:t xml:space="preserve"> — </w:t>
      </w:r>
      <w:r w:rsidR="00FD0F48" w:rsidRPr="006A645C">
        <w:rPr>
          <w:rFonts w:cstheme="minorHAnsi"/>
        </w:rPr>
        <w:t>3</w:t>
      </w:r>
      <w:r w:rsidR="00A93865" w:rsidRPr="006A645C">
        <w:rPr>
          <w:rFonts w:cstheme="minorHAnsi"/>
        </w:rPr>
        <w:t>0</w:t>
      </w:r>
      <w:r w:rsidRPr="006A645C">
        <w:rPr>
          <w:rFonts w:cstheme="minorHAnsi"/>
        </w:rPr>
        <w:t>.</w:t>
      </w:r>
      <w:r w:rsidR="00096113" w:rsidRPr="006A645C">
        <w:rPr>
          <w:rFonts w:cstheme="minorHAnsi"/>
        </w:rPr>
        <w:t>0</w:t>
      </w:r>
      <w:r w:rsidR="00A93865" w:rsidRPr="006A645C">
        <w:rPr>
          <w:rFonts w:cstheme="minorHAnsi"/>
        </w:rPr>
        <w:t>9</w:t>
      </w:r>
      <w:r w:rsidRPr="006A645C">
        <w:rPr>
          <w:rFonts w:cstheme="minorHAnsi"/>
        </w:rPr>
        <w:t>.202</w:t>
      </w:r>
      <w:r w:rsidR="00E47B0B" w:rsidRPr="006A645C">
        <w:rPr>
          <w:rFonts w:cstheme="minorHAnsi"/>
        </w:rPr>
        <w:t>4</w:t>
      </w:r>
      <w:r w:rsidRPr="006A645C">
        <w:rPr>
          <w:rFonts w:cstheme="minorHAnsi"/>
        </w:rPr>
        <w:t>)</w:t>
      </w:r>
      <w:r w:rsidRPr="006A645C">
        <w:rPr>
          <w:rFonts w:cstheme="minorHAnsi"/>
        </w:rPr>
        <w:br/>
        <w:t xml:space="preserve">Новое в системе Галактика </w:t>
      </w:r>
      <w:r w:rsidRPr="006A645C">
        <w:rPr>
          <w:rFonts w:cstheme="minorHAnsi"/>
          <w:lang w:val="en-US"/>
        </w:rPr>
        <w:t>ERP</w:t>
      </w:r>
      <w:r w:rsidRPr="006A645C">
        <w:rPr>
          <w:rFonts w:cstheme="minorHAnsi"/>
        </w:rPr>
        <w:t xml:space="preserve"> 9.1</w:t>
      </w:r>
    </w:p>
    <w:p w:rsidR="007E1ECF" w:rsidRPr="006A645C" w:rsidRDefault="0093260A" w:rsidP="00A93865">
      <w:pPr>
        <w:spacing w:before="240" w:after="24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6A645C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6A645C">
        <w:rPr>
          <w:rStyle w:val="HMAccent2"/>
          <w:rFonts w:asciiTheme="majorHAnsi" w:hAnsiTheme="majorHAnsi" w:cstheme="majorHAnsi"/>
          <w:sz w:val="32"/>
        </w:rPr>
        <w:t>РБ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BF06DE" w:rsidTr="00AD16FB">
        <w:tc>
          <w:tcPr>
            <w:tcW w:w="9075" w:type="dxa"/>
          </w:tcPr>
          <w:p w:rsidR="00A93865" w:rsidRPr="006A645C" w:rsidRDefault="00A93865" w:rsidP="00A93865">
            <w:pPr>
              <w:pStyle w:val="HMHeadSection0"/>
              <w:keepNext w:val="0"/>
            </w:pPr>
            <w:r w:rsidRPr="006A645C">
              <w:rPr>
                <w:rStyle w:val="HMHeadSection"/>
              </w:rPr>
              <w:t>Разработка пользовательской документации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A93865" w:rsidRPr="006A645C" w:rsidTr="00033A9B">
              <w:tc>
                <w:tcPr>
                  <w:tcW w:w="9075" w:type="dxa"/>
                </w:tcPr>
                <w:p w:rsidR="00A93865" w:rsidRPr="006A645C" w:rsidRDefault="00A93865" w:rsidP="00A93865">
                  <w:pPr>
                    <w:pStyle w:val="HMBody11"/>
                  </w:pPr>
                  <w:r w:rsidRPr="006A645C">
                    <w:rPr>
                      <w:rStyle w:val="HMBody10"/>
                    </w:rPr>
                    <w:t xml:space="preserve">Выпущено очередное обновление справочной подсистемы </w:t>
                  </w:r>
                  <w:r w:rsidRPr="006A645C">
                    <w:rPr>
                      <w:rStyle w:val="HMFieldVal"/>
                      <w:color w:val="000080"/>
                    </w:rPr>
                    <w:t>C_GalHelp.res.9.1.85.0</w:t>
                  </w:r>
                  <w:r w:rsidRPr="006A645C">
                    <w:rPr>
                      <w:rStyle w:val="HMBody10"/>
                    </w:rPr>
                    <w:t>.</w:t>
                  </w:r>
                </w:p>
              </w:tc>
            </w:tr>
          </w:tbl>
          <w:p w:rsidR="00BF06DE" w:rsidRPr="006A645C" w:rsidRDefault="00BF06DE" w:rsidP="00816A3A">
            <w:pPr>
              <w:pStyle w:val="HMHeadSection0"/>
              <w:keepNext w:val="0"/>
            </w:pPr>
            <w:r w:rsidRPr="006A645C">
              <w:t>Бухгалтерский учет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RPr="006A645C" w:rsidTr="00AD16FB">
              <w:tc>
                <w:tcPr>
                  <w:tcW w:w="9075" w:type="dxa"/>
                </w:tcPr>
                <w:p w:rsidR="00A93865" w:rsidRPr="006A645C" w:rsidRDefault="00A93865" w:rsidP="00A93865">
                  <w:pPr>
                    <w:pStyle w:val="HMBody11"/>
                    <w:rPr>
                      <w:lang w:val="en-US"/>
                    </w:rPr>
                  </w:pPr>
                  <w:r w:rsidRPr="006A645C">
                    <w:rPr>
                      <w:rStyle w:val="HMAccent2"/>
                      <w:i/>
                      <w:lang w:val="en-US"/>
                    </w:rPr>
                    <w:t>BUH_9.1_475</w:t>
                  </w:r>
                  <w:r w:rsidRPr="006A645C">
                    <w:rPr>
                      <w:lang w:val="en-US"/>
                    </w:rPr>
                    <w:t xml:space="preserve"> (</w:t>
                  </w:r>
                  <w:r w:rsidRPr="006A645C">
                    <w:rPr>
                      <w:rStyle w:val="HMFieldVal"/>
                      <w:lang w:val="en-US"/>
                    </w:rPr>
                    <w:t>F_DistPl.res.9.1.154.0</w:t>
                  </w:r>
                  <w:r w:rsidRPr="006A645C">
                    <w:rPr>
                      <w:lang w:val="en-US"/>
                    </w:rPr>
                    <w:t xml:space="preserve">, </w:t>
                  </w:r>
                  <w:r w:rsidRPr="006A645C">
                    <w:rPr>
                      <w:rStyle w:val="HMFieldVal"/>
                      <w:lang w:val="en-US"/>
                    </w:rPr>
                    <w:t>F_SoprHoz.res.9.1.213.0</w:t>
                  </w:r>
                  <w:r w:rsidRPr="006A645C">
                    <w:rPr>
                      <w:lang w:val="en-US"/>
                    </w:rPr>
                    <w:t>):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В общесистемный реестр введена пользовательская настройка </w:t>
                  </w:r>
                  <w:r w:rsidRPr="006A645C">
                    <w:rPr>
                      <w:rStyle w:val="HMField"/>
                    </w:rPr>
                    <w:t xml:space="preserve">Наследовать ссылку на ДО при создании новой </w:t>
                  </w:r>
                  <w:proofErr w:type="spellStart"/>
                  <w:r w:rsidRPr="006A645C">
                    <w:rPr>
                      <w:rStyle w:val="HMField"/>
                    </w:rPr>
                    <w:t>хозоперации</w:t>
                  </w:r>
                  <w:proofErr w:type="spellEnd"/>
                  <w:r w:rsidRPr="006A645C">
                    <w:t xml:space="preserve"> (</w:t>
                  </w:r>
                  <w:r w:rsidRPr="006A645C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6A645C">
                    <w:rPr>
                      <w:rStyle w:val="HMField"/>
                    </w:rPr>
                    <w:t>контур</w:t>
                  </w:r>
                  <w:r w:rsidRPr="006A645C">
                    <w:t xml:space="preserve"> &gt;</w:t>
                  </w:r>
                  <w:proofErr w:type="gramEnd"/>
                  <w:r w:rsidRPr="006A645C">
                    <w:t xml:space="preserve"> </w:t>
                  </w:r>
                  <w:r w:rsidRPr="006A645C">
                    <w:rPr>
                      <w:rStyle w:val="HMField"/>
                    </w:rPr>
                    <w:t>Обработка документов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Хозяйственные операции и бухгалтерские проводки</w:t>
                  </w:r>
                  <w:r w:rsidRPr="006A645C">
                    <w:t xml:space="preserve">) — </w:t>
                  </w:r>
                  <w:r w:rsidRPr="006A645C">
                    <w:rPr>
                      <w:rStyle w:val="HMFieldVal"/>
                    </w:rPr>
                    <w:t>нет</w:t>
                  </w:r>
                  <w:r w:rsidRPr="006A645C">
                    <w:t>/</w:t>
                  </w:r>
                  <w:r w:rsidRPr="006A645C">
                    <w:rPr>
                      <w:rStyle w:val="HMFieldVal"/>
                    </w:rPr>
                    <w:t>да</w:t>
                  </w:r>
                  <w:r w:rsidRPr="006A645C">
                    <w:t xml:space="preserve">. Данная настройка и </w:t>
                  </w:r>
                  <w:proofErr w:type="gramStart"/>
                  <w:r w:rsidRPr="006A645C">
                    <w:t xml:space="preserve">настройка </w:t>
                  </w:r>
                  <w:r w:rsidRPr="006A645C">
                    <w:rPr>
                      <w:rStyle w:val="HMField"/>
                    </w:rPr>
                    <w:t>Наследовать</w:t>
                  </w:r>
                  <w:proofErr w:type="gramEnd"/>
                  <w:r w:rsidRPr="006A645C">
                    <w:rPr>
                      <w:rStyle w:val="HMField"/>
                    </w:rPr>
                    <w:t xml:space="preserve"> ссылку на договор при создании новой </w:t>
                  </w:r>
                  <w:proofErr w:type="spellStart"/>
                  <w:r w:rsidRPr="006A645C">
                    <w:rPr>
                      <w:rStyle w:val="HMField"/>
                    </w:rPr>
                    <w:t>хозоперации</w:t>
                  </w:r>
                  <w:proofErr w:type="spellEnd"/>
                  <w:r w:rsidRPr="006A645C">
                    <w:t xml:space="preserve"> обрабатываются в момент изменения пользователем суммы хозяйственной операции: если сумма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уменьшается, то происходит дробление текущей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на две — ХО на сумму заданную сумму и ХО на остаток. При выключенной </w:t>
                  </w:r>
                  <w:proofErr w:type="gramStart"/>
                  <w:r w:rsidRPr="006A645C">
                    <w:t xml:space="preserve">настройке </w:t>
                  </w:r>
                  <w:r w:rsidRPr="006A645C">
                    <w:rPr>
                      <w:rStyle w:val="HMField"/>
                    </w:rPr>
                    <w:t>Наследовать</w:t>
                  </w:r>
                  <w:proofErr w:type="gramEnd"/>
                  <w:r w:rsidRPr="006A645C">
                    <w:rPr>
                      <w:rStyle w:val="HMField"/>
                    </w:rPr>
                    <w:t xml:space="preserve"> ссылку на ДО при создании новой </w:t>
                  </w:r>
                  <w:proofErr w:type="spellStart"/>
                  <w:r w:rsidRPr="006A645C">
                    <w:rPr>
                      <w:rStyle w:val="HMField"/>
                    </w:rPr>
                    <w:t>хозоперации</w:t>
                  </w:r>
                  <w:proofErr w:type="spellEnd"/>
                  <w:r w:rsidRPr="006A645C">
                    <w:t xml:space="preserve"> в ХО на остаток выполняется отвязка ДО (в том числе и ДО на предоплату). При выключенной </w:t>
                  </w:r>
                  <w:proofErr w:type="gramStart"/>
                  <w:r w:rsidRPr="006A645C">
                    <w:t xml:space="preserve">настройке </w:t>
                  </w:r>
                  <w:r w:rsidRPr="006A645C">
                    <w:rPr>
                      <w:rStyle w:val="HMField"/>
                    </w:rPr>
                    <w:t>Наследовать</w:t>
                  </w:r>
                  <w:proofErr w:type="gramEnd"/>
                  <w:r w:rsidRPr="006A645C">
                    <w:rPr>
                      <w:rStyle w:val="HMField"/>
                    </w:rPr>
                    <w:t xml:space="preserve"> ссылку на договор при создании новой </w:t>
                  </w:r>
                  <w:proofErr w:type="spellStart"/>
                  <w:r w:rsidRPr="006A645C">
                    <w:rPr>
                      <w:rStyle w:val="HMField"/>
                    </w:rPr>
                    <w:t>хозоперации</w:t>
                  </w:r>
                  <w:proofErr w:type="spellEnd"/>
                  <w:r w:rsidRPr="006A645C">
                    <w:t xml:space="preserve"> в ХО на остаток выполняется отвязка договора и всего его окружения (отвязка договора не выполняется, если есть разноска по ДО).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В интерфейсе настроек </w:t>
                  </w:r>
                  <w:r w:rsidRPr="006A645C">
                    <w:rPr>
                      <w:rStyle w:val="HMField"/>
                    </w:rPr>
                    <w:t>Параметры работы с документами различных типов</w:t>
                  </w:r>
                  <w:r w:rsidRPr="006A645C">
                    <w:t xml:space="preserve"> (</w:t>
                  </w:r>
                  <w:r w:rsidRPr="006A645C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6A645C">
                    <w:rPr>
                      <w:rStyle w:val="HMField"/>
                    </w:rPr>
                    <w:t>контур</w:t>
                  </w:r>
                  <w:r w:rsidRPr="006A645C">
                    <w:t xml:space="preserve"> &gt;</w:t>
                  </w:r>
                  <w:proofErr w:type="gramEnd"/>
                  <w:r w:rsidRPr="006A645C">
                    <w:t xml:space="preserve"> </w:t>
                  </w:r>
                  <w:r w:rsidRPr="006A645C">
                    <w:rPr>
                      <w:rStyle w:val="HMField"/>
                    </w:rPr>
                    <w:t>Обработка документов</w:t>
                  </w:r>
                  <w:r w:rsidRPr="006A645C">
                    <w:t xml:space="preserve">) на вкладку </w:t>
                  </w:r>
                  <w:r w:rsidRPr="006A645C">
                    <w:rPr>
                      <w:rStyle w:val="HMLabel"/>
                    </w:rPr>
                    <w:t>Суммовая разница</w:t>
                  </w:r>
                  <w:r w:rsidRPr="006A645C">
                    <w:t xml:space="preserve"> для обработки суммовой разницы по мультивалютным договорам добавлен параметр </w:t>
                  </w:r>
                  <w:r w:rsidRPr="006A645C">
                    <w:rPr>
                      <w:rStyle w:val="HMField"/>
                    </w:rPr>
                    <w:t>Использовать ТХО при формировании проводок</w:t>
                  </w:r>
                  <w:r w:rsidRPr="006A645C">
                    <w:t xml:space="preserve">. Если установлено значение </w:t>
                  </w:r>
                  <w:r w:rsidRPr="006A645C">
                    <w:rPr>
                      <w:rStyle w:val="HMFieldVal"/>
                    </w:rPr>
                    <w:t>Нет</w:t>
                  </w:r>
                  <w:r w:rsidRPr="006A645C">
                    <w:t xml:space="preserve">, то для параметров </w:t>
                  </w:r>
                  <w:r w:rsidRPr="006A645C">
                    <w:rPr>
                      <w:rStyle w:val="HMField"/>
                    </w:rPr>
                    <w:t>Формирование проводок для авансов</w:t>
                  </w:r>
                  <w:r w:rsidRPr="006A645C">
                    <w:t xml:space="preserve"> и </w:t>
                  </w:r>
                  <w:r w:rsidRPr="006A645C">
                    <w:rPr>
                      <w:rStyle w:val="HMField"/>
                    </w:rPr>
                    <w:t>Формирование проводок для оплат</w:t>
                  </w:r>
                  <w:r w:rsidRPr="006A645C">
                    <w:t xml:space="preserve"> задаются настройки формирования проводок на суммовую разницу по мультивалютным договорам (после формирования </w:t>
                  </w:r>
                  <w:proofErr w:type="spellStart"/>
                  <w:r w:rsidRPr="006A645C">
                    <w:t>бухсправки</w:t>
                  </w:r>
                  <w:proofErr w:type="spellEnd"/>
                  <w:r w:rsidRPr="006A645C">
                    <w:t xml:space="preserve"> на суммовую разницу по выбранным настройкам формируются проводки). Если установлено </w:t>
                  </w:r>
                  <w:proofErr w:type="gramStart"/>
                  <w:r w:rsidRPr="006A645C">
                    <w:t xml:space="preserve">значение </w:t>
                  </w:r>
                  <w:r w:rsidRPr="006A645C">
                    <w:rPr>
                      <w:rStyle w:val="HMFieldVal"/>
                    </w:rPr>
                    <w:t>Да</w:t>
                  </w:r>
                  <w:proofErr w:type="gramEnd"/>
                  <w:r w:rsidRPr="006A645C">
                    <w:t xml:space="preserve">, то в параметрах </w:t>
                  </w:r>
                  <w:r w:rsidRPr="006A645C">
                    <w:rPr>
                      <w:rStyle w:val="HMField"/>
                    </w:rPr>
                    <w:t>Формирование проводок для авансов</w:t>
                  </w:r>
                  <w:r w:rsidRPr="006A645C">
                    <w:t xml:space="preserve"> и </w:t>
                  </w:r>
                  <w:r w:rsidRPr="006A645C">
                    <w:rPr>
                      <w:rStyle w:val="HMField"/>
                    </w:rPr>
                    <w:t>Формирование проводок для оплат</w:t>
                  </w:r>
                  <w:r w:rsidRPr="006A645C">
                    <w:t xml:space="preserve"> задаются ТХО, которые используются именно при формировании </w:t>
                  </w:r>
                  <w:proofErr w:type="spellStart"/>
                  <w:r w:rsidRPr="006A645C">
                    <w:t>бухсправок</w:t>
                  </w:r>
                  <w:proofErr w:type="spellEnd"/>
                  <w:r w:rsidRPr="006A645C">
                    <w:t xml:space="preserve"> (после формирования </w:t>
                  </w:r>
                  <w:proofErr w:type="spellStart"/>
                  <w:r w:rsidRPr="006A645C">
                    <w:t>бухсправки</w:t>
                  </w:r>
                  <w:proofErr w:type="spellEnd"/>
                  <w:r w:rsidRPr="006A645C">
                    <w:t xml:space="preserve"> на суммовую разницу проводки формируются средствами ТХО по выбранным шаблонам; в случае раздельной привязки, ТХО применяется в текущем плане счетов). </w:t>
                  </w:r>
                  <w:r w:rsidRPr="006A645C">
                    <w:rPr>
                      <w:rStyle w:val="HMAccent2"/>
                    </w:rPr>
                    <w:t>Примечание</w:t>
                  </w:r>
                  <w:r w:rsidRPr="006A645C">
                    <w:t xml:space="preserve">: при изменении значения параметра </w:t>
                  </w:r>
                  <w:r w:rsidRPr="006A645C">
                    <w:rPr>
                      <w:rStyle w:val="HMField"/>
                    </w:rPr>
                    <w:t>Использовать ТХО при формировании проводок</w:t>
                  </w:r>
                  <w:r w:rsidRPr="006A645C">
                    <w:t xml:space="preserve"> значения в параметрах </w:t>
                  </w:r>
                  <w:r w:rsidRPr="006A645C">
                    <w:rPr>
                      <w:rStyle w:val="HMField"/>
                    </w:rPr>
                    <w:t>Формирование проводок для авансов</w:t>
                  </w:r>
                  <w:r w:rsidRPr="006A645C">
                    <w:t xml:space="preserve"> и </w:t>
                  </w:r>
                  <w:r w:rsidRPr="006A645C">
                    <w:rPr>
                      <w:rStyle w:val="HMField"/>
                    </w:rPr>
                    <w:t>Формирование проводок для оплат</w:t>
                  </w:r>
                  <w:r w:rsidRPr="006A645C">
                    <w:t xml:space="preserve"> всегда сбрасываются (т. е. выставляется </w:t>
                  </w:r>
                  <w:r w:rsidRPr="006A645C">
                    <w:rPr>
                      <w:rStyle w:val="HMFieldVal"/>
                    </w:rPr>
                    <w:t>не выполняется</w:t>
                  </w:r>
                  <w:r w:rsidRPr="006A645C">
                    <w:t>).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Реализован новый VIP-алгоритм </w:t>
                  </w:r>
                  <w:r w:rsidRPr="006A645C">
                    <w:rPr>
                      <w:rStyle w:val="HMFieldVal"/>
                    </w:rPr>
                    <w:t>SUMRAZNMV</w:t>
                  </w:r>
                  <w:r w:rsidRPr="006A645C">
                    <w:t xml:space="preserve">, который позволяет получить аналитику для бухгалтерской справки на суммовую разницу по мультивалютному договору. Алгоритм может возвращать следующий </w:t>
                  </w:r>
                  <w:r w:rsidRPr="006A645C">
                    <w:rPr>
                      <w:rStyle w:val="HMField"/>
                    </w:rPr>
                    <w:t>Результат</w:t>
                  </w:r>
                  <w:r w:rsidRPr="006A645C">
                    <w:t xml:space="preserve">: </w:t>
                  </w:r>
                  <w:r w:rsidRPr="006A645C">
                    <w:rPr>
                      <w:rStyle w:val="HMFieldVal"/>
                    </w:rPr>
                    <w:t>Суммовая разница в НДЕ</w:t>
                  </w:r>
                  <w:r w:rsidRPr="006A645C">
                    <w:t xml:space="preserve"> — возвращается сумма в НДЕ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</w:t>
                  </w:r>
                  <w:proofErr w:type="spellStart"/>
                  <w:r w:rsidRPr="006A645C">
                    <w:t>бухсправки</w:t>
                  </w:r>
                  <w:proofErr w:type="spellEnd"/>
                  <w:r w:rsidRPr="006A645C">
                    <w:t xml:space="preserve">; </w:t>
                  </w:r>
                  <w:r w:rsidRPr="006A645C">
                    <w:rPr>
                      <w:rStyle w:val="HMFieldVal"/>
                    </w:rPr>
                    <w:t>Сумма в НДЕ исходной ХО</w:t>
                  </w:r>
                  <w:r w:rsidRPr="006A645C">
                    <w:t xml:space="preserve"> — </w:t>
                  </w:r>
                  <w:r w:rsidRPr="006A645C">
                    <w:rPr>
                      <w:rStyle w:val="HMFieldVal"/>
                    </w:rPr>
                    <w:t>[</w:t>
                  </w:r>
                  <w:proofErr w:type="spellStart"/>
                  <w:proofErr w:type="gramStart"/>
                  <w:r w:rsidRPr="006A645C">
                    <w:rPr>
                      <w:rStyle w:val="HMFieldVal"/>
                    </w:rPr>
                    <w:t>Рез:СумИст</w:t>
                  </w:r>
                  <w:proofErr w:type="spellEnd"/>
                  <w:proofErr w:type="gramEnd"/>
                  <w:r w:rsidRPr="006A645C">
                    <w:rPr>
                      <w:rStyle w:val="HMFieldVal"/>
                    </w:rPr>
                    <w:t>]</w:t>
                  </w:r>
                  <w:r w:rsidRPr="006A645C">
                    <w:t xml:space="preserve"> — возвращается сумма в НДЕ исходной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, по которой была сформирована </w:t>
                  </w:r>
                  <w:proofErr w:type="spellStart"/>
                  <w:r w:rsidRPr="006A645C">
                    <w:t>бухсправка</w:t>
                  </w:r>
                  <w:proofErr w:type="spellEnd"/>
                  <w:r w:rsidRPr="006A645C">
                    <w:t xml:space="preserve">. Предусмотрены два режима циклической обработки по аналитике: </w:t>
                  </w:r>
                  <w:r w:rsidRPr="006A645C">
                    <w:rPr>
                      <w:rStyle w:val="HMFieldVal"/>
                    </w:rPr>
                    <w:t>&lt;Режим 0&gt;</w:t>
                  </w:r>
                  <w:r w:rsidRPr="006A645C">
                    <w:t xml:space="preserve"> — выдает значение из исходного платежного документа для следующих каталогов аналитического учета: </w:t>
                  </w:r>
                  <w:r w:rsidRPr="006A645C">
                    <w:rPr>
                      <w:i/>
                    </w:rPr>
                    <w:t>Договоры</w:t>
                  </w:r>
                  <w:r w:rsidRPr="006A645C">
                    <w:t xml:space="preserve">; </w:t>
                  </w:r>
                  <w:r w:rsidRPr="006A645C">
                    <w:rPr>
                      <w:i/>
                    </w:rPr>
                    <w:t>Документы</w:t>
                  </w:r>
                  <w:r w:rsidR="006B464F" w:rsidRPr="006A645C">
                    <w:rPr>
                      <w:i/>
                    </w:rPr>
                    <w:t>-</w:t>
                  </w:r>
                  <w:r w:rsidRPr="006A645C">
                    <w:rPr>
                      <w:i/>
                    </w:rPr>
                    <w:t>основания</w:t>
                  </w:r>
                  <w:r w:rsidRPr="006A645C">
                    <w:t xml:space="preserve">; </w:t>
                  </w:r>
                  <w:r w:rsidRPr="006A645C">
                    <w:rPr>
                      <w:i/>
                    </w:rPr>
                    <w:t>Контрагенты</w:t>
                  </w:r>
                  <w:r w:rsidRPr="006A645C">
                    <w:t xml:space="preserve">; </w:t>
                  </w:r>
                  <w:r w:rsidRPr="006A645C">
                    <w:rPr>
                      <w:i/>
                    </w:rPr>
                    <w:t>Подразделения</w:t>
                  </w:r>
                  <w:r w:rsidRPr="006A645C">
                    <w:t xml:space="preserve"> (по ЦО из исходного платежного документа); </w:t>
                  </w:r>
                  <w:r w:rsidRPr="006A645C">
                    <w:rPr>
                      <w:rStyle w:val="HMFieldVal"/>
                    </w:rPr>
                    <w:t>&lt;Режим 1&gt;</w:t>
                  </w:r>
                  <w:r w:rsidRPr="006A645C">
                    <w:t xml:space="preserve"> — выдает значение из договора исходной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для каталога аналитического учета </w:t>
                  </w:r>
                  <w:r w:rsidRPr="006A645C">
                    <w:rPr>
                      <w:i/>
                    </w:rPr>
                    <w:t>Подразделения</w:t>
                  </w:r>
                  <w:r w:rsidRPr="006A645C">
                    <w:t xml:space="preserve"> (курирующее подразделение из договора). Алгоритм работает следующим образом. После применения </w:t>
                  </w:r>
                  <w:r w:rsidRPr="006A645C">
                    <w:lastRenderedPageBreak/>
                    <w:t xml:space="preserve">настроенной ТХО к бухгалтерской справке на суммовую разницу по мультивалютным договорам алгоритм обращается к исходной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и добывает из нее ссылки на договор, ДО, контрагента. После добывает из реквизитов платежного документа ссылку на ЦО</w:t>
                  </w:r>
                  <w:r w:rsidR="006B464F" w:rsidRPr="006A645C">
                    <w:t>;</w:t>
                  </w:r>
                  <w:r w:rsidRPr="006A645C">
                    <w:t xml:space="preserve"> если тип ЦО — </w:t>
                  </w:r>
                  <w:r w:rsidRPr="006A645C">
                    <w:rPr>
                      <w:rStyle w:val="HMFieldVal"/>
                    </w:rPr>
                    <w:t>структурное подразделение</w:t>
                  </w:r>
                  <w:r w:rsidRPr="006A645C">
                    <w:t xml:space="preserve">, то получает ссылку на подразделение. Затем по ссылке на договор из исходной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добывает ссылку на курирующее подразделение договора. Полученные данные заполняются для описанных выше режимов.</w:t>
                  </w:r>
                </w:p>
                <w:p w:rsidR="00A93865" w:rsidRPr="006A645C" w:rsidRDefault="00A93865" w:rsidP="00A93865">
                  <w:pPr>
                    <w:pStyle w:val="HMBody11"/>
                  </w:pPr>
                  <w:r w:rsidRPr="006A645C">
                    <w:rPr>
                      <w:rStyle w:val="HMAccent2"/>
                      <w:i/>
                    </w:rPr>
                    <w:t>BUH_9.1_476</w:t>
                  </w:r>
                  <w:r w:rsidRPr="006A645C">
                    <w:t xml:space="preserve"> (</w:t>
                  </w:r>
                  <w:r w:rsidRPr="006A645C">
                    <w:rPr>
                      <w:rStyle w:val="HMFieldVal"/>
                    </w:rPr>
                    <w:t>F_PlPor.res.9.1.241.0</w:t>
                  </w:r>
                  <w:r w:rsidRPr="006A645C">
                    <w:t xml:space="preserve">, </w:t>
                  </w:r>
                  <w:r w:rsidRPr="006A645C">
                    <w:rPr>
                      <w:rStyle w:val="HMFieldVal"/>
                    </w:rPr>
                    <w:t>F_SoprHoz.res.9.1.214.0</w:t>
                  </w:r>
                  <w:r w:rsidRPr="006A645C">
                    <w:t xml:space="preserve">, </w:t>
                  </w:r>
                  <w:r w:rsidRPr="006A645C">
                    <w:rPr>
                      <w:rStyle w:val="HMFieldVal"/>
                    </w:rPr>
                    <w:t>F_Veks.res.9.1.122.0</w:t>
                  </w:r>
                  <w:r w:rsidRPr="006A645C">
                    <w:t xml:space="preserve">). Доработана синхронизация разноски по ДО из </w:t>
                  </w:r>
                  <w:proofErr w:type="spellStart"/>
                  <w:r w:rsidRPr="006A645C">
                    <w:t>хозопераций</w:t>
                  </w:r>
                  <w:proofErr w:type="spellEnd"/>
                  <w:r w:rsidRPr="006A645C">
                    <w:t xml:space="preserve"> документа закрытого периода в его реквизиты с учетом настройки </w:t>
                  </w:r>
                  <w:r w:rsidRPr="006A645C">
                    <w:rPr>
                      <w:rStyle w:val="HMField"/>
                    </w:rPr>
                    <w:t>Изменять ссылку на ДО в поле "Основание" платежного документа</w:t>
                  </w:r>
                  <w:r w:rsidRPr="006A645C">
                    <w:t xml:space="preserve"> (</w:t>
                  </w:r>
                  <w:r w:rsidRPr="006A645C">
                    <w:rPr>
                      <w:rStyle w:val="HMField"/>
                    </w:rPr>
                    <w:t xml:space="preserve">Бухгалтерский </w:t>
                  </w:r>
                  <w:proofErr w:type="gramStart"/>
                  <w:r w:rsidRPr="006A645C">
                    <w:rPr>
                      <w:rStyle w:val="HMField"/>
                    </w:rPr>
                    <w:t>контур</w:t>
                  </w:r>
                  <w:r w:rsidRPr="006A645C">
                    <w:t xml:space="preserve"> &gt;</w:t>
                  </w:r>
                  <w:proofErr w:type="gramEnd"/>
                  <w:r w:rsidRPr="006A645C">
                    <w:t xml:space="preserve"> </w:t>
                  </w:r>
                  <w:r w:rsidRPr="006A645C">
                    <w:rPr>
                      <w:rStyle w:val="HMField"/>
                    </w:rPr>
                    <w:t>Обработка документов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Распределение платежа по ДО</w:t>
                  </w:r>
                  <w:r w:rsidRPr="006A645C">
                    <w:t xml:space="preserve">). Реализовано для платежных и кассовых документов, а также для векселей. Алгоритм следующий: 1) При значении </w:t>
                  </w:r>
                  <w:r w:rsidRPr="006A645C">
                    <w:rPr>
                      <w:rStyle w:val="HMFieldVal"/>
                    </w:rPr>
                    <w:t>да</w:t>
                  </w:r>
                  <w:r w:rsidRPr="006A645C">
                    <w:t xml:space="preserve"> в настройке: после привязки ДО в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ссылка на ДО проставляется в реквизиты документа — если там уже была ссылка на другое ДО, то ссылка заменяется на новую (т. е. в реквизитах всегда отображается последнее привязанное ДО); после отвязки ДО в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выполняется анализ всех </w:t>
                  </w:r>
                  <w:proofErr w:type="spellStart"/>
                  <w:r w:rsidRPr="006A645C">
                    <w:t>хозопераций</w:t>
                  </w:r>
                  <w:proofErr w:type="spellEnd"/>
                  <w:r w:rsidRPr="006A645C">
                    <w:t xml:space="preserve"> документа на предмет наличия в них разноски по ДО — если такая </w:t>
                  </w:r>
                  <w:proofErr w:type="spellStart"/>
                  <w:r w:rsidRPr="006A645C">
                    <w:t>хозоперация</w:t>
                  </w:r>
                  <w:proofErr w:type="spellEnd"/>
                  <w:r w:rsidRPr="006A645C">
                    <w:t xml:space="preserve"> обнаруживается, то в реквизиты документа заносится ссылка на это ДО (если в документе нет ни одной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, разнесенной по ДО, то в реквизитах документа также сбрасывается ссылка на ДО). 2) При значении </w:t>
                  </w:r>
                  <w:r w:rsidRPr="006A645C">
                    <w:rPr>
                      <w:rStyle w:val="HMFieldVal"/>
                    </w:rPr>
                    <w:t>нет</w:t>
                  </w:r>
                  <w:r w:rsidRPr="006A645C">
                    <w:t xml:space="preserve"> в настройке после привязки ДО в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, если в реквизитах документа еще нет ссылки на ДО, то она заполняется (все последующие привязки ДО не изменяют ссылку на ДО в реквизитах документа); после отвязки ДО в </w:t>
                  </w:r>
                  <w:proofErr w:type="spellStart"/>
                  <w:r w:rsidRPr="006A645C">
                    <w:t>хозоперации</w:t>
                  </w:r>
                  <w:proofErr w:type="spellEnd"/>
                  <w:r w:rsidRPr="006A645C">
                    <w:t xml:space="preserve"> ссылка на ДО в реквизитах документа не сбрасывается.</w:t>
                  </w:r>
                </w:p>
              </w:tc>
            </w:tr>
          </w:tbl>
          <w:p w:rsidR="00BF06DE" w:rsidRPr="006A645C" w:rsidRDefault="00BF06DE" w:rsidP="00AD16FB">
            <w:pPr>
              <w:pStyle w:val="HMHeadSection0"/>
            </w:pPr>
            <w:r w:rsidRPr="006A645C">
              <w:lastRenderedPageBreak/>
              <w:t>Логистика</w:t>
            </w:r>
          </w:p>
          <w:tbl>
            <w:tblPr>
              <w:tblW w:w="181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  <w:gridCol w:w="9075"/>
            </w:tblGrid>
            <w:tr w:rsidR="00A93865" w:rsidRPr="006A645C" w:rsidTr="00A93865">
              <w:tc>
                <w:tcPr>
                  <w:tcW w:w="9075" w:type="dxa"/>
                </w:tcPr>
                <w:p w:rsidR="00A93865" w:rsidRPr="006A645C" w:rsidRDefault="00A93865" w:rsidP="00A93865">
                  <w:pPr>
                    <w:pStyle w:val="HMBody11"/>
                  </w:pPr>
                  <w:r w:rsidRPr="006A645C">
                    <w:rPr>
                      <w:rStyle w:val="HMAccent2"/>
                      <w:i/>
                    </w:rPr>
                    <w:t>L_Dogovor.res.9.1.169.0</w:t>
                  </w:r>
                  <w:r w:rsidRPr="006A645C">
                    <w:t xml:space="preserve">. В модуле </w:t>
                  </w:r>
                  <w:r w:rsidRPr="006A645C">
                    <w:rPr>
                      <w:rStyle w:val="HMMenuM"/>
                    </w:rPr>
                    <w:t>Управление договорами</w:t>
                  </w:r>
                  <w:r w:rsidRPr="006A645C">
                    <w:t xml:space="preserve"> доработаны договоры аренды МТР: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В общесистемный реестр введена новая настройка </w:t>
                  </w:r>
                  <w:r w:rsidRPr="006A645C">
                    <w:rPr>
                      <w:rStyle w:val="HMField"/>
                    </w:rPr>
                    <w:t>Группа МТР для произвольного бронирования</w:t>
                  </w:r>
                  <w:r w:rsidRPr="006A645C">
                    <w:t xml:space="preserve"> (</w:t>
                  </w:r>
                  <w:proofErr w:type="gramStart"/>
                  <w:r w:rsidRPr="006A645C">
                    <w:rPr>
                      <w:rStyle w:val="HMField"/>
                    </w:rPr>
                    <w:t>Логистика</w:t>
                  </w:r>
                  <w:r w:rsidRPr="006A645C">
                    <w:t xml:space="preserve"> &gt;</w:t>
                  </w:r>
                  <w:proofErr w:type="gramEnd"/>
                  <w:r w:rsidRPr="006A645C">
                    <w:t xml:space="preserve"> </w:t>
                  </w:r>
                  <w:r w:rsidRPr="006A645C">
                    <w:rPr>
                      <w:rStyle w:val="HMField"/>
                    </w:rPr>
                    <w:t>Документы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Управление договорами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Аренда МТР</w:t>
                  </w:r>
                  <w:r w:rsidRPr="006A645C">
                    <w:t>). Для данной группы МТР бронирование возможно на любую дату в пределах действия договора. При этом не учитывается бронь эт</w:t>
                  </w:r>
                  <w:r w:rsidR="006B464F" w:rsidRPr="006A645C">
                    <w:t xml:space="preserve">их </w:t>
                  </w:r>
                  <w:r w:rsidRPr="006A645C">
                    <w:t>МТР другими договорами.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Для договоров с видом </w:t>
                  </w:r>
                  <w:r w:rsidRPr="006A645C">
                    <w:rPr>
                      <w:rStyle w:val="HMFieldVal"/>
                    </w:rPr>
                    <w:t>Аренда МТР</w:t>
                  </w:r>
                  <w:r w:rsidRPr="006A645C">
                    <w:t xml:space="preserve"> в интерфейсе бронирования добавлена локальная функция </w:t>
                  </w:r>
                  <w:r w:rsidRPr="006A645C">
                    <w:rPr>
                      <w:rStyle w:val="HMMenu"/>
                    </w:rPr>
                    <w:t>Подробная информация о договоре бронирования</w:t>
                  </w:r>
                  <w:r w:rsidRPr="006A645C">
                    <w:t>. Функцию можно вызвать для конкретной забронированной даты. Если договор не найден, значит, нарушена целостность данных и такие записи бронирования нужно удалять через подсистему администрирования.</w:t>
                  </w:r>
                </w:p>
              </w:tc>
              <w:tc>
                <w:tcPr>
                  <w:tcW w:w="9075" w:type="dxa"/>
                </w:tcPr>
                <w:p w:rsidR="00A93865" w:rsidRPr="006A645C" w:rsidRDefault="00A93865" w:rsidP="00A93865">
                  <w:pPr>
                    <w:pStyle w:val="HMBody11"/>
                  </w:pPr>
                </w:p>
              </w:tc>
            </w:tr>
          </w:tbl>
          <w:p w:rsidR="00BF06DE" w:rsidRPr="006A645C" w:rsidRDefault="00BF06DE" w:rsidP="0055491E">
            <w:pPr>
              <w:pStyle w:val="HMHeadSection0"/>
            </w:pPr>
            <w:r w:rsidRPr="006A645C">
              <w:t>Управление персоналом</w:t>
            </w:r>
          </w:p>
          <w:tbl>
            <w:tblPr>
              <w:tblW w:w="90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5"/>
            </w:tblGrid>
            <w:tr w:rsidR="00BF06DE" w:rsidTr="00AD16FB">
              <w:tc>
                <w:tcPr>
                  <w:tcW w:w="9075" w:type="dxa"/>
                </w:tcPr>
                <w:p w:rsidR="00A93865" w:rsidRPr="006A645C" w:rsidRDefault="00A93865" w:rsidP="00A93865">
                  <w:pPr>
                    <w:pStyle w:val="HMBody11"/>
                  </w:pPr>
                  <w:r w:rsidRPr="006A645C">
                    <w:rPr>
                      <w:rStyle w:val="HMAccent2"/>
                      <w:i/>
                      <w:lang w:val="en-US"/>
                    </w:rPr>
                    <w:t>Z</w:t>
                  </w:r>
                  <w:r w:rsidRPr="006A645C">
                    <w:rPr>
                      <w:rStyle w:val="HMAccent2"/>
                      <w:i/>
                    </w:rPr>
                    <w:t>_</w:t>
                  </w:r>
                  <w:proofErr w:type="spellStart"/>
                  <w:r w:rsidRPr="006A645C">
                    <w:rPr>
                      <w:rStyle w:val="HMAccent2"/>
                      <w:i/>
                      <w:lang w:val="en-US"/>
                    </w:rPr>
                    <w:t>Sredn</w:t>
                  </w:r>
                  <w:proofErr w:type="spellEnd"/>
                  <w:r w:rsidRPr="006A645C">
                    <w:rPr>
                      <w:rStyle w:val="HMAccent2"/>
                      <w:i/>
                    </w:rPr>
                    <w:t>.</w:t>
                  </w:r>
                  <w:r w:rsidRPr="006A645C">
                    <w:rPr>
                      <w:rStyle w:val="HMAccent2"/>
                      <w:i/>
                      <w:lang w:val="en-US"/>
                    </w:rPr>
                    <w:t>res</w:t>
                  </w:r>
                  <w:r w:rsidRPr="006A645C">
                    <w:rPr>
                      <w:rStyle w:val="HMAccent2"/>
                      <w:i/>
                    </w:rPr>
                    <w:t>.9.1.356.0</w:t>
                  </w:r>
                  <w:r w:rsidRPr="006A645C">
                    <w:t xml:space="preserve">, </w:t>
                  </w:r>
                  <w:r w:rsidRPr="006A645C">
                    <w:rPr>
                      <w:rStyle w:val="HMAccent2"/>
                      <w:i/>
                      <w:lang w:val="en-US"/>
                    </w:rPr>
                    <w:t>Z</w:t>
                  </w:r>
                  <w:r w:rsidRPr="006A645C">
                    <w:rPr>
                      <w:rStyle w:val="HMAccent2"/>
                      <w:i/>
                    </w:rPr>
                    <w:t>_</w:t>
                  </w:r>
                  <w:proofErr w:type="spellStart"/>
                  <w:r w:rsidRPr="006A645C">
                    <w:rPr>
                      <w:rStyle w:val="HMAccent2"/>
                      <w:i/>
                      <w:lang w:val="en-US"/>
                    </w:rPr>
                    <w:t>Sredn</w:t>
                  </w:r>
                  <w:proofErr w:type="spellEnd"/>
                  <w:r w:rsidRPr="006A645C">
                    <w:rPr>
                      <w:rStyle w:val="HMAccent2"/>
                      <w:i/>
                    </w:rPr>
                    <w:t>.</w:t>
                  </w:r>
                  <w:r w:rsidRPr="006A645C">
                    <w:rPr>
                      <w:rStyle w:val="HMAccent2"/>
                      <w:i/>
                      <w:lang w:val="en-US"/>
                    </w:rPr>
                    <w:t>res</w:t>
                  </w:r>
                  <w:r w:rsidRPr="006A645C">
                    <w:rPr>
                      <w:rStyle w:val="HMAccent2"/>
                      <w:i/>
                    </w:rPr>
                    <w:t>.9.1.357.0</w:t>
                  </w:r>
                  <w:r w:rsidRPr="006A645C">
                    <w:t xml:space="preserve"> содержат решения по расчету больничных по новым правилам: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В окне редактирования листка нетрудоспособности поле </w:t>
                  </w:r>
                  <w:r w:rsidRPr="006A645C">
                    <w:rPr>
                      <w:rStyle w:val="HMField"/>
                    </w:rPr>
                    <w:t>Стаж</w:t>
                  </w:r>
                  <w:r w:rsidRPr="006A645C">
                    <w:t xml:space="preserve"> переименовано на </w:t>
                  </w:r>
                  <w:r w:rsidRPr="006A645C">
                    <w:rPr>
                      <w:rStyle w:val="HMField"/>
                    </w:rPr>
                    <w:t>Шкала</w:t>
                  </w:r>
                  <w:r w:rsidRPr="006A645C">
                    <w:t xml:space="preserve">. Теперь выбор шкалы процента на основании страхового стажа при вводе нового больничного происходит только после автоматического заполнения количества месяцев страхового стажа. Напомним, что в период расчета больничных по новым правилам попадают листки с датой начала оплаты заболевания большей или равной значению настройки </w:t>
                  </w:r>
                  <w:r w:rsidRPr="006A645C">
                    <w:rPr>
                      <w:rStyle w:val="HMField"/>
                    </w:rPr>
                    <w:t>Дата</w:t>
                  </w:r>
                  <w:bookmarkStart w:id="0" w:name="_GoBack"/>
                  <w:bookmarkEnd w:id="0"/>
                  <w:r w:rsidRPr="006A645C">
                    <w:rPr>
                      <w:rStyle w:val="HMField"/>
                    </w:rPr>
                    <w:t xml:space="preserve"> начала действия новых правил расчета пособий по нетрудоспособности</w:t>
                  </w:r>
                  <w:r w:rsidRPr="006A645C">
                    <w:t>.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В окно редактирования листка нетрудоспособности введено новое поле </w:t>
                  </w:r>
                  <w:r w:rsidRPr="006A645C">
                    <w:rPr>
                      <w:rStyle w:val="HMField"/>
                    </w:rPr>
                    <w:t>Расчет</w:t>
                  </w:r>
                  <w:r w:rsidRPr="006A645C">
                    <w:t xml:space="preserve"> со значениями: </w:t>
                  </w:r>
                  <w:r w:rsidRPr="006A645C">
                    <w:rPr>
                      <w:rStyle w:val="HMFieldVal"/>
                    </w:rPr>
                    <w:t>с учетом ограничений</w:t>
                  </w:r>
                  <w:r w:rsidRPr="006A645C">
                    <w:t xml:space="preserve"> / </w:t>
                  </w:r>
                  <w:r w:rsidRPr="006A645C">
                    <w:rPr>
                      <w:rStyle w:val="HMFieldVal"/>
                    </w:rPr>
                    <w:t>из фактического среднедневного заработка</w:t>
                  </w:r>
                  <w:r w:rsidRPr="006A645C">
                    <w:t xml:space="preserve">. При расчете </w:t>
                  </w:r>
                  <w:r w:rsidRPr="006A645C">
                    <w:rPr>
                      <w:rStyle w:val="HMFieldVal"/>
                    </w:rPr>
                    <w:t>из фактического среднедневного заработка</w:t>
                  </w:r>
                  <w:r w:rsidRPr="006A645C">
                    <w:t xml:space="preserve"> суммы ограничений не применяются. Если в полученном от ФСЗН файле с информацией о среднедневном заработке содержится сообщение, что "Пособие должно быть назначено из указанного среднедневного заработка" (код ответа — 6004), поле </w:t>
                  </w:r>
                  <w:r w:rsidRPr="006A645C">
                    <w:rPr>
                      <w:rStyle w:val="HMField"/>
                    </w:rPr>
                    <w:t>Расчет</w:t>
                  </w:r>
                  <w:r w:rsidRPr="006A645C">
                    <w:t xml:space="preserve"> принимает значение </w:t>
                  </w:r>
                  <w:r w:rsidRPr="006A645C">
                    <w:rPr>
                      <w:rStyle w:val="HMFieldVal"/>
                    </w:rPr>
                    <w:t>из фактического среднедневного заработка</w:t>
                  </w:r>
                  <w:r w:rsidRPr="006A645C">
                    <w:t>.</w:t>
                  </w:r>
                </w:p>
                <w:p w:rsidR="00A93865" w:rsidRPr="006A645C" w:rsidRDefault="00A93865" w:rsidP="00A93865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lastRenderedPageBreak/>
                    <w:t xml:space="preserve">Для расчета минимального ограничения больничного при неполной ставке в общесистемном реестре предусмотрена системная настройка </w:t>
                  </w:r>
                  <w:r w:rsidRPr="006A645C">
                    <w:rPr>
                      <w:rStyle w:val="HMField"/>
                    </w:rPr>
                    <w:t>Брать долю ставки, при расчете больничного из минимального ограничения</w:t>
                  </w:r>
                  <w:r w:rsidRPr="006A645C">
                    <w:t xml:space="preserve"> (</w:t>
                  </w:r>
                  <w:r w:rsidRPr="006A645C">
                    <w:rPr>
                      <w:rStyle w:val="HMField"/>
                    </w:rPr>
                    <w:t>Управление персоналом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Общие настройки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Больничные, отпуска, расчеты по среднему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Больничные</w:t>
                  </w:r>
                  <w:r w:rsidRPr="006A645C">
                    <w:t xml:space="preserve"> &gt; </w:t>
                  </w:r>
                  <w:r w:rsidRPr="006A645C">
                    <w:rPr>
                      <w:rStyle w:val="HMField"/>
                    </w:rPr>
                    <w:t>Особенности расчета</w:t>
                  </w:r>
                  <w:r w:rsidRPr="006A645C">
                    <w:t xml:space="preserve">) со значениями: </w:t>
                  </w:r>
                  <w:r w:rsidRPr="006A645C">
                    <w:rPr>
                      <w:rStyle w:val="HMFieldVal"/>
                    </w:rPr>
                    <w:t>отношение планового времени к балансному</w:t>
                  </w:r>
                  <w:r w:rsidRPr="006A645C">
                    <w:t xml:space="preserve"> — доля ставки выбирается исходя из пропорции планового и балансного времени; </w:t>
                  </w:r>
                  <w:r w:rsidRPr="006A645C">
                    <w:rPr>
                      <w:rStyle w:val="HMFieldVal"/>
                    </w:rPr>
                    <w:t>из поля "коэффициент факт. времени", таблицы "Режимы работ"</w:t>
                  </w:r>
                  <w:r w:rsidRPr="006A645C">
                    <w:t xml:space="preserve"> — в качестве значения доли ставки выбирается значение поля </w:t>
                  </w:r>
                  <w:r w:rsidRPr="006A645C">
                    <w:rPr>
                      <w:rStyle w:val="HMField"/>
                    </w:rPr>
                    <w:t>Коэффициент факт. времени</w:t>
                  </w:r>
                  <w:r w:rsidRPr="006A645C">
                    <w:t xml:space="preserve"> из справочника </w:t>
                  </w:r>
                  <w:r w:rsidRPr="006A645C">
                    <w:rPr>
                      <w:rStyle w:val="HMMenu"/>
                    </w:rPr>
                    <w:t>Режимы работ</w:t>
                  </w:r>
                  <w:r w:rsidRPr="006A645C">
                    <w:t xml:space="preserve">. Для выбора коэффициента учитывается режим, действующий на первый день каждого месяца болезни. При расчете больничного из минимальной суммы для работников, работающих в условиях неполного рабочего времени, сумма ограничения корректируется с учетом коэффициента. </w:t>
                  </w:r>
                  <w:r w:rsidRPr="006A645C">
                    <w:rPr>
                      <w:rStyle w:val="HMAccent2"/>
                    </w:rPr>
                    <w:t>Примечание</w:t>
                  </w:r>
                  <w:r w:rsidRPr="006A645C">
                    <w:t>:</w:t>
                  </w:r>
                  <w:r w:rsidR="00AE7600" w:rsidRPr="006A645C">
                    <w:t xml:space="preserve"> </w:t>
                  </w:r>
                  <w:r w:rsidRPr="006A645C">
                    <w:t>случай, когда режим изменился в течение одного месяца болезни, пока не рассматривался. В справках о расчете выводится соответствующая информация для работников, работающих в условиях неполного рабочего времени.</w:t>
                  </w:r>
                </w:p>
                <w:p w:rsidR="00A93865" w:rsidRPr="006A645C" w:rsidRDefault="00A93865" w:rsidP="003B22D8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>Доработана функция выбора ограничения из МЗП для пособий по нетрудоспособности: если в справочнике ограничений отсутствует запись для нужного месяца, размер МЗП определяется из последней имеющейся записи за предшествующий период.</w:t>
                  </w:r>
                </w:p>
                <w:p w:rsidR="00BF06DE" w:rsidRPr="006A645C" w:rsidRDefault="00A93865" w:rsidP="0018505F">
                  <w:pPr>
                    <w:pStyle w:val="HMBullet0"/>
                    <w:numPr>
                      <w:ilvl w:val="0"/>
                      <w:numId w:val="25"/>
                    </w:numPr>
                    <w:spacing w:before="60"/>
                  </w:pPr>
                  <w:r w:rsidRPr="006A645C">
                    <w:t xml:space="preserve">При формировании справки о расчете для пособий по уходу применяется значение колонки </w:t>
                  </w:r>
                  <w:r w:rsidRPr="006A645C">
                    <w:rPr>
                      <w:rStyle w:val="HMField"/>
                    </w:rPr>
                    <w:t>Минимальная сумма пособия (процент от БПМ</w:t>
                  </w:r>
                  <w:r w:rsidRPr="006A645C">
                    <w:t xml:space="preserve">) из справочника ограничений только в том случае, если страховой стаж работника меньше 6 месяцев. Во всех остальных случаях учитывается значение из колонки </w:t>
                  </w:r>
                  <w:r w:rsidRPr="006A645C">
                    <w:rPr>
                      <w:rStyle w:val="HMField"/>
                    </w:rPr>
                    <w:t>Минимальная сумма пособия (минимальная заработная плата)</w:t>
                  </w:r>
                  <w:r w:rsidRPr="006A645C">
                    <w:t>.</w:t>
                  </w:r>
                </w:p>
              </w:tc>
            </w:tr>
          </w:tbl>
          <w:p w:rsidR="00BF06DE" w:rsidRDefault="00BF06DE" w:rsidP="00AD16FB">
            <w:pPr>
              <w:pStyle w:val="HMBody11"/>
            </w:pPr>
          </w:p>
        </w:tc>
      </w:tr>
    </w:tbl>
    <w:p w:rsidR="008629F3" w:rsidRPr="001B44DC" w:rsidRDefault="008629F3" w:rsidP="00816A3A">
      <w:pPr>
        <w:pStyle w:val="HMBullet0"/>
        <w:spacing w:before="60"/>
        <w:ind w:left="0" w:firstLine="0"/>
        <w:rPr>
          <w:rStyle w:val="HMAccent2"/>
          <w:color w:val="auto"/>
        </w:rPr>
      </w:pPr>
    </w:p>
    <w:sectPr w:rsidR="008629F3" w:rsidRPr="001B44DC" w:rsidSect="00A93865">
      <w:footerReference w:type="even" r:id="rId7"/>
      <w:footerReference w:type="default" r:id="rId8"/>
      <w:footerReference w:type="first" r:id="rId9"/>
      <w:pgSz w:w="11906" w:h="16838"/>
      <w:pgMar w:top="1135" w:right="1418" w:bottom="993" w:left="141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71B" w:rsidRDefault="00F5671B">
      <w:pPr>
        <w:spacing w:after="0" w:line="240" w:lineRule="auto"/>
      </w:pPr>
      <w:r>
        <w:separator/>
      </w:r>
    </w:p>
  </w:endnote>
  <w:endnote w:type="continuationSeparator" w:id="0">
    <w:p w:rsidR="00F5671B" w:rsidRDefault="00F5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6A645C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71B" w:rsidRDefault="00F5671B">
      <w:pPr>
        <w:spacing w:after="0" w:line="240" w:lineRule="auto"/>
      </w:pPr>
      <w:r>
        <w:separator/>
      </w:r>
    </w:p>
  </w:footnote>
  <w:footnote w:type="continuationSeparator" w:id="0">
    <w:p w:rsidR="00F5671B" w:rsidRDefault="00F56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210CE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1E6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66E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A054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A8B7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40CE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E98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844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0A84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A8D2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D3177"/>
    <w:multiLevelType w:val="singleLevel"/>
    <w:tmpl w:val="B8BCA3D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8346AB6"/>
    <w:multiLevelType w:val="singleLevel"/>
    <w:tmpl w:val="2A6CECD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EBE2FD0"/>
    <w:multiLevelType w:val="singleLevel"/>
    <w:tmpl w:val="01AEDEC2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66028D7"/>
    <w:multiLevelType w:val="hybridMultilevel"/>
    <w:tmpl w:val="59F2220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EA4EC3"/>
    <w:multiLevelType w:val="singleLevel"/>
    <w:tmpl w:val="89BA1344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313E4690"/>
    <w:multiLevelType w:val="singleLevel"/>
    <w:tmpl w:val="B0A899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411F75D9"/>
    <w:multiLevelType w:val="singleLevel"/>
    <w:tmpl w:val="BE8C93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454779C6"/>
    <w:multiLevelType w:val="singleLevel"/>
    <w:tmpl w:val="DA0EE6A2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/>
        <w:color w:val="000000"/>
        <w:sz w:val="22"/>
      </w:rPr>
    </w:lvl>
  </w:abstractNum>
  <w:abstractNum w:abstractNumId="19" w15:restartNumberingAfterBreak="0">
    <w:nsid w:val="47233C66"/>
    <w:multiLevelType w:val="singleLevel"/>
    <w:tmpl w:val="996AF4E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59986A88"/>
    <w:multiLevelType w:val="singleLevel"/>
    <w:tmpl w:val="81BA23A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6CC34413"/>
    <w:multiLevelType w:val="singleLevel"/>
    <w:tmpl w:val="919E087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71244FC6"/>
    <w:multiLevelType w:val="singleLevel"/>
    <w:tmpl w:val="2758A45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7358377A"/>
    <w:multiLevelType w:val="singleLevel"/>
    <w:tmpl w:val="E0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75AC0A60"/>
    <w:multiLevelType w:val="singleLevel"/>
    <w:tmpl w:val="6BB2144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4"/>
  </w:num>
  <w:num w:numId="2">
    <w:abstractNumId w:val="11"/>
  </w:num>
  <w:num w:numId="3">
    <w:abstractNumId w:val="2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4"/>
  </w:num>
  <w:num w:numId="16">
    <w:abstractNumId w:val="17"/>
  </w:num>
  <w:num w:numId="17">
    <w:abstractNumId w:val="16"/>
  </w:num>
  <w:num w:numId="18">
    <w:abstractNumId w:val="12"/>
  </w:num>
  <w:num w:numId="19">
    <w:abstractNumId w:val="15"/>
  </w:num>
  <w:num w:numId="20">
    <w:abstractNumId w:val="19"/>
  </w:num>
  <w:num w:numId="21">
    <w:abstractNumId w:val="20"/>
  </w:num>
  <w:num w:numId="22">
    <w:abstractNumId w:val="18"/>
    <w:lvlOverride w:ilvl="0">
      <w:startOverride w:val="1"/>
    </w:lvlOverride>
  </w:num>
  <w:num w:numId="23">
    <w:abstractNumId w:val="10"/>
  </w:num>
  <w:num w:numId="24">
    <w:abstractNumId w:val="13"/>
  </w:num>
  <w:num w:numId="2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2D83"/>
    <w:rsid w:val="00003AD5"/>
    <w:rsid w:val="00006BAD"/>
    <w:rsid w:val="00012AE7"/>
    <w:rsid w:val="000217A7"/>
    <w:rsid w:val="00021E8E"/>
    <w:rsid w:val="0002265F"/>
    <w:rsid w:val="0002305B"/>
    <w:rsid w:val="00025AC4"/>
    <w:rsid w:val="00026214"/>
    <w:rsid w:val="000263AE"/>
    <w:rsid w:val="0003082C"/>
    <w:rsid w:val="000351A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029D"/>
    <w:rsid w:val="000E5327"/>
    <w:rsid w:val="000E54E7"/>
    <w:rsid w:val="000E5FBD"/>
    <w:rsid w:val="000F7A93"/>
    <w:rsid w:val="0010585D"/>
    <w:rsid w:val="0010755F"/>
    <w:rsid w:val="00111A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4C1C"/>
    <w:rsid w:val="0017705A"/>
    <w:rsid w:val="00182B63"/>
    <w:rsid w:val="00183CE5"/>
    <w:rsid w:val="0018436E"/>
    <w:rsid w:val="0018505F"/>
    <w:rsid w:val="001868FE"/>
    <w:rsid w:val="00187CD7"/>
    <w:rsid w:val="00192A13"/>
    <w:rsid w:val="00192FE1"/>
    <w:rsid w:val="001A28FD"/>
    <w:rsid w:val="001A474B"/>
    <w:rsid w:val="001B3767"/>
    <w:rsid w:val="001B44DC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1C52"/>
    <w:rsid w:val="00202541"/>
    <w:rsid w:val="00202C8F"/>
    <w:rsid w:val="0020709E"/>
    <w:rsid w:val="00211C0E"/>
    <w:rsid w:val="00211EFC"/>
    <w:rsid w:val="00212194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1D33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4586"/>
    <w:rsid w:val="002B74E9"/>
    <w:rsid w:val="002C347B"/>
    <w:rsid w:val="002D53C2"/>
    <w:rsid w:val="002D5D26"/>
    <w:rsid w:val="002D5EA4"/>
    <w:rsid w:val="002D7B34"/>
    <w:rsid w:val="002F072B"/>
    <w:rsid w:val="002F427B"/>
    <w:rsid w:val="003005B8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1831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3444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3856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3ECB"/>
    <w:rsid w:val="004F40B9"/>
    <w:rsid w:val="004F500A"/>
    <w:rsid w:val="004F5BCA"/>
    <w:rsid w:val="00503C68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491E"/>
    <w:rsid w:val="0055587D"/>
    <w:rsid w:val="00561F1E"/>
    <w:rsid w:val="005623CD"/>
    <w:rsid w:val="005639CB"/>
    <w:rsid w:val="00571DC7"/>
    <w:rsid w:val="0058092C"/>
    <w:rsid w:val="00581EFC"/>
    <w:rsid w:val="0058456F"/>
    <w:rsid w:val="005849C5"/>
    <w:rsid w:val="0058626E"/>
    <w:rsid w:val="00587A2F"/>
    <w:rsid w:val="00591F17"/>
    <w:rsid w:val="00595B44"/>
    <w:rsid w:val="005964FF"/>
    <w:rsid w:val="00597E75"/>
    <w:rsid w:val="005A071E"/>
    <w:rsid w:val="005A0EE9"/>
    <w:rsid w:val="005A6864"/>
    <w:rsid w:val="005B298B"/>
    <w:rsid w:val="005B3CF7"/>
    <w:rsid w:val="005B723A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23AA"/>
    <w:rsid w:val="00603C83"/>
    <w:rsid w:val="00605542"/>
    <w:rsid w:val="00605E55"/>
    <w:rsid w:val="00605E59"/>
    <w:rsid w:val="006245BD"/>
    <w:rsid w:val="00625E5F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A645C"/>
    <w:rsid w:val="006B0A8E"/>
    <w:rsid w:val="006B1293"/>
    <w:rsid w:val="006B21BE"/>
    <w:rsid w:val="006B464F"/>
    <w:rsid w:val="006B60D5"/>
    <w:rsid w:val="006B6E12"/>
    <w:rsid w:val="006C080E"/>
    <w:rsid w:val="006C1533"/>
    <w:rsid w:val="006C5382"/>
    <w:rsid w:val="006C582C"/>
    <w:rsid w:val="006D4BE1"/>
    <w:rsid w:val="006D50EC"/>
    <w:rsid w:val="006D67F9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32B3"/>
    <w:rsid w:val="00785584"/>
    <w:rsid w:val="007A03B2"/>
    <w:rsid w:val="007A39A5"/>
    <w:rsid w:val="007A4252"/>
    <w:rsid w:val="007A45E9"/>
    <w:rsid w:val="007B66CE"/>
    <w:rsid w:val="007B67DE"/>
    <w:rsid w:val="007B74FE"/>
    <w:rsid w:val="007C2202"/>
    <w:rsid w:val="007C3914"/>
    <w:rsid w:val="007D2EEC"/>
    <w:rsid w:val="007D746F"/>
    <w:rsid w:val="007E1831"/>
    <w:rsid w:val="007E1ECF"/>
    <w:rsid w:val="007E5C7F"/>
    <w:rsid w:val="007E7772"/>
    <w:rsid w:val="007F0CF2"/>
    <w:rsid w:val="007F236C"/>
    <w:rsid w:val="00806FDF"/>
    <w:rsid w:val="00811836"/>
    <w:rsid w:val="00811C72"/>
    <w:rsid w:val="00815808"/>
    <w:rsid w:val="00816A3A"/>
    <w:rsid w:val="00816C9F"/>
    <w:rsid w:val="00820097"/>
    <w:rsid w:val="008216F3"/>
    <w:rsid w:val="00825E8A"/>
    <w:rsid w:val="0083008B"/>
    <w:rsid w:val="008319A7"/>
    <w:rsid w:val="008373CF"/>
    <w:rsid w:val="00841298"/>
    <w:rsid w:val="00841336"/>
    <w:rsid w:val="00844F3C"/>
    <w:rsid w:val="008469D4"/>
    <w:rsid w:val="0085222A"/>
    <w:rsid w:val="00855005"/>
    <w:rsid w:val="00857C22"/>
    <w:rsid w:val="00861573"/>
    <w:rsid w:val="008629F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61AB"/>
    <w:rsid w:val="008C7F33"/>
    <w:rsid w:val="008D07D3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37C20"/>
    <w:rsid w:val="00940F2E"/>
    <w:rsid w:val="00943F47"/>
    <w:rsid w:val="0094501B"/>
    <w:rsid w:val="00947ADB"/>
    <w:rsid w:val="00952F71"/>
    <w:rsid w:val="00953BD6"/>
    <w:rsid w:val="00955476"/>
    <w:rsid w:val="00960C5D"/>
    <w:rsid w:val="009617C8"/>
    <w:rsid w:val="009636CB"/>
    <w:rsid w:val="00974A99"/>
    <w:rsid w:val="009801A5"/>
    <w:rsid w:val="009803E8"/>
    <w:rsid w:val="00985627"/>
    <w:rsid w:val="009A75C6"/>
    <w:rsid w:val="009B4CAC"/>
    <w:rsid w:val="009B624A"/>
    <w:rsid w:val="009B6D6A"/>
    <w:rsid w:val="009C483D"/>
    <w:rsid w:val="009C5076"/>
    <w:rsid w:val="009C7206"/>
    <w:rsid w:val="009D30D9"/>
    <w:rsid w:val="009D447A"/>
    <w:rsid w:val="009D481E"/>
    <w:rsid w:val="009D52DA"/>
    <w:rsid w:val="009D75D9"/>
    <w:rsid w:val="009E04E4"/>
    <w:rsid w:val="009E2271"/>
    <w:rsid w:val="009E59C2"/>
    <w:rsid w:val="009E64CE"/>
    <w:rsid w:val="009E7750"/>
    <w:rsid w:val="009E791C"/>
    <w:rsid w:val="009F65DF"/>
    <w:rsid w:val="00A003C8"/>
    <w:rsid w:val="00A0089A"/>
    <w:rsid w:val="00A03EC3"/>
    <w:rsid w:val="00A03ED4"/>
    <w:rsid w:val="00A04D4C"/>
    <w:rsid w:val="00A07A6E"/>
    <w:rsid w:val="00A13189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3865"/>
    <w:rsid w:val="00A95DE9"/>
    <w:rsid w:val="00AA652C"/>
    <w:rsid w:val="00AA6A7D"/>
    <w:rsid w:val="00AA7881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E7600"/>
    <w:rsid w:val="00AF0DEB"/>
    <w:rsid w:val="00AF1943"/>
    <w:rsid w:val="00AF66B2"/>
    <w:rsid w:val="00B03E68"/>
    <w:rsid w:val="00B14979"/>
    <w:rsid w:val="00B16B57"/>
    <w:rsid w:val="00B24789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95883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3FA2"/>
    <w:rsid w:val="00BE5DD6"/>
    <w:rsid w:val="00BF06DE"/>
    <w:rsid w:val="00BF0A87"/>
    <w:rsid w:val="00BF2620"/>
    <w:rsid w:val="00BF3C79"/>
    <w:rsid w:val="00BF3FEA"/>
    <w:rsid w:val="00BF51D4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1EF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749"/>
    <w:rsid w:val="00D27B94"/>
    <w:rsid w:val="00D27CA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4911"/>
    <w:rsid w:val="00DE50AE"/>
    <w:rsid w:val="00DE518D"/>
    <w:rsid w:val="00DE6AF1"/>
    <w:rsid w:val="00DF0B5F"/>
    <w:rsid w:val="00DF3911"/>
    <w:rsid w:val="00DF4693"/>
    <w:rsid w:val="00DF66C5"/>
    <w:rsid w:val="00E006C9"/>
    <w:rsid w:val="00E008F7"/>
    <w:rsid w:val="00E06D97"/>
    <w:rsid w:val="00E232E5"/>
    <w:rsid w:val="00E32537"/>
    <w:rsid w:val="00E35C26"/>
    <w:rsid w:val="00E404E0"/>
    <w:rsid w:val="00E41A08"/>
    <w:rsid w:val="00E438FE"/>
    <w:rsid w:val="00E46155"/>
    <w:rsid w:val="00E47B0B"/>
    <w:rsid w:val="00E5093F"/>
    <w:rsid w:val="00E532E6"/>
    <w:rsid w:val="00E57DC9"/>
    <w:rsid w:val="00E607E5"/>
    <w:rsid w:val="00E61BEF"/>
    <w:rsid w:val="00E628F6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6BE3"/>
    <w:rsid w:val="00ED719E"/>
    <w:rsid w:val="00EE381E"/>
    <w:rsid w:val="00EE575D"/>
    <w:rsid w:val="00EF5BE4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5671B"/>
    <w:rsid w:val="00F619B1"/>
    <w:rsid w:val="00F62BBE"/>
    <w:rsid w:val="00F63AD6"/>
    <w:rsid w:val="00F667D6"/>
    <w:rsid w:val="00F66EEB"/>
    <w:rsid w:val="00F7054C"/>
    <w:rsid w:val="00F73754"/>
    <w:rsid w:val="00F738C1"/>
    <w:rsid w:val="00F76FCE"/>
    <w:rsid w:val="00F842F6"/>
    <w:rsid w:val="00F856EE"/>
    <w:rsid w:val="00F85BD1"/>
    <w:rsid w:val="00F905C3"/>
    <w:rsid w:val="00F943C0"/>
    <w:rsid w:val="00F94DE1"/>
    <w:rsid w:val="00F9655F"/>
    <w:rsid w:val="00F9706C"/>
    <w:rsid w:val="00F97352"/>
    <w:rsid w:val="00FB53EE"/>
    <w:rsid w:val="00FD0F48"/>
    <w:rsid w:val="00FD1F6E"/>
    <w:rsid w:val="00FD201F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A1FE94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EE575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575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38</TotalTime>
  <Pages>3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9</cp:revision>
  <dcterms:created xsi:type="dcterms:W3CDTF">2024-09-30T14:25:00Z</dcterms:created>
  <dcterms:modified xsi:type="dcterms:W3CDTF">2024-10-01T09:19:00Z</dcterms:modified>
</cp:coreProperties>
</file>